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东源县支持工业实体经济高质量发展的若干措施</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w:t>
      </w:r>
      <w:r>
        <w:rPr>
          <w:rFonts w:hint="eastAsia" w:ascii="方正仿宋_GBK" w:hAnsi="方正仿宋_GBK" w:eastAsia="方正仿宋_GBK" w:cs="方正仿宋_GBK"/>
          <w:sz w:val="32"/>
          <w:szCs w:val="32"/>
        </w:rPr>
        <w:t>贯彻省委十三届二次全会、省委经济工作会议、全省高质量发展大会、市委八届五次全会及县委八届四次全会暨县委经济工作会议有关经济工作部署，</w:t>
      </w:r>
      <w:r>
        <w:rPr>
          <w:rFonts w:hint="eastAsia" w:ascii="方正仿宋_GBK" w:hAnsi="方正仿宋_GBK" w:eastAsia="方正仿宋_GBK" w:cs="方正仿宋_GBK"/>
          <w:sz w:val="32"/>
          <w:szCs w:val="32"/>
          <w:lang w:val="en-US" w:eastAsia="zh-CN"/>
        </w:rPr>
        <w:t>推动我县工业经济实现高质量发展，结合我县实际，制定《东源县支持工业实体经济高质量发展的若干措施》（以下简称“措施”）。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一、适用范围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本《措施》适用于工商注册地、税务征管关系及统计关系在东源县范围内，符合产业发展规划、具有独立法人资格、实行独立核算、规范经营的工业企业及工业项目。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二、新上规奖励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1.对新增的规模以上工业企业奖励5万元。其中当年给予3万元扶持资金，第二年该企业规上工业增加值增速10%以上（含10%）且高于全县平均水平的，再给予2万元扶持资金。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sz w:val="32"/>
          <w:szCs w:val="32"/>
          <w:lang w:val="en-US" w:eastAsia="zh-CN"/>
        </w:rPr>
        <w:t>2.各乡镇（开发区）每新增1家规模以上工业企业，当年给予2万元扶持资金，第二年该企业规上工业增加值增速达到10%以上（含10%）且高于全县平均水平的，再给予3万元扶持资金。</w:t>
      </w:r>
      <w:r>
        <w:rPr>
          <w:rFonts w:hint="eastAsia" w:ascii="方正仿宋_GBK" w:hAnsi="方正仿宋_GBK" w:eastAsia="方正仿宋_GBK" w:cs="方正仿宋_GBK"/>
          <w:b/>
          <w:bCs/>
          <w:sz w:val="32"/>
          <w:szCs w:val="32"/>
          <w:lang w:val="en-US" w:eastAsia="zh-CN"/>
        </w:rPr>
        <w:t>[责任单位：县工商信局、县统计局、县财政局]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三、融资支持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sz w:val="32"/>
          <w:szCs w:val="32"/>
          <w:lang w:val="en-US" w:eastAsia="zh-CN"/>
        </w:rPr>
        <w:t>县财政一次性安排1000万元资金设立东源县融资专项资金，企业申请融资专项资金单笔最高限额300万元，且仅限申请企业和企业主用于还贷、续贷业务临时周转，不得挪作其他用途，使用时间原则上不超过5个工作日。同一企业申请融资专项资金的次数原则上每年申请不超过2次（含2次），如遇特殊情况，同一企业每年申请次数超过2次的，需经报联席会议审议同意后方可实施。</w:t>
      </w:r>
      <w:r>
        <w:rPr>
          <w:rFonts w:hint="eastAsia" w:ascii="方正仿宋_GBK" w:hAnsi="方正仿宋_GBK" w:eastAsia="方正仿宋_GBK" w:cs="方正仿宋_GBK"/>
          <w:b/>
          <w:bCs/>
          <w:sz w:val="32"/>
          <w:szCs w:val="32"/>
          <w:lang w:val="en-US" w:eastAsia="zh-CN"/>
        </w:rPr>
        <w:t>[责任单位：县金融工作局、县财政局]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四、上市奖励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1.对成功在主板、中小板、创业板上市挂牌的企业给予300万元奖励。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2.对成功在“科创板”“北交所”上市的企业在省、市奖励基础上再给予100万元奖励。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3.进入“新三板”创新层、基础层挂牌的企业，再给予每家50万元的奖励。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4.对完成股改的入库企业，县财政给予一次性奖励10万元。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5.对在区域股权交易中心挂牌的企业给予每家5万元的奖励（含各类已上市挂牌未奖励的企业）。</w:t>
      </w:r>
      <w:r>
        <w:rPr>
          <w:rFonts w:hint="eastAsia" w:ascii="方正仿宋_GBK" w:hAnsi="方正仿宋_GBK" w:eastAsia="方正仿宋_GBK" w:cs="方正仿宋_GBK"/>
          <w:b/>
          <w:bCs/>
          <w:sz w:val="32"/>
          <w:szCs w:val="32"/>
          <w:lang w:val="en-US" w:eastAsia="zh-CN"/>
        </w:rPr>
        <w:t>[责任单位：县金融工作局、县财政局]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五、人才奖励</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1.国内外顶尖人才</w:t>
      </w:r>
      <w:r>
        <w:rPr>
          <w:rFonts w:hint="eastAsia" w:ascii="方正仿宋_GBK" w:hAnsi="方正仿宋_GBK" w:eastAsia="方正仿宋_GBK" w:cs="方正仿宋_GBK"/>
          <w:sz w:val="32"/>
          <w:szCs w:val="40"/>
          <w:lang w:val="en-US" w:eastAsia="zh-CN"/>
        </w:rPr>
        <w:t>，分3期给予用人单位共300万元支持研发项目，每月给予其个人2万元生活补助，分4年发放总额共150万元安家补贴；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2.国内领军人才，</w:t>
      </w:r>
      <w:r>
        <w:rPr>
          <w:rFonts w:hint="eastAsia" w:ascii="方正仿宋_GBK" w:hAnsi="方正仿宋_GBK" w:eastAsia="方正仿宋_GBK" w:cs="方正仿宋_GBK"/>
          <w:sz w:val="32"/>
          <w:szCs w:val="40"/>
          <w:lang w:val="en-US" w:eastAsia="zh-CN"/>
        </w:rPr>
        <w:t>分3期给予用人单位共200万元支持研发项目。每月给予其个人1.2万元生活补助，分4年发放总额共100万元安家补贴；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3.省内领军人才，</w:t>
      </w:r>
      <w:r>
        <w:rPr>
          <w:rFonts w:hint="eastAsia" w:ascii="方正仿宋_GBK" w:hAnsi="方正仿宋_GBK" w:eastAsia="方正仿宋_GBK" w:cs="方正仿宋_GBK"/>
          <w:sz w:val="32"/>
          <w:szCs w:val="40"/>
          <w:lang w:val="en-US" w:eastAsia="zh-CN"/>
        </w:rPr>
        <w:t>分3期给予用人单位共100万元支持研发项目。每月给予其个人0.5万元生活补助，分4年发放总额共50万元安家补贴；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4.急需紧缺人才，</w:t>
      </w:r>
      <w:r>
        <w:rPr>
          <w:rFonts w:hint="eastAsia" w:ascii="方正仿宋_GBK" w:hAnsi="方正仿宋_GBK" w:eastAsia="方正仿宋_GBK" w:cs="方正仿宋_GBK"/>
          <w:sz w:val="32"/>
          <w:szCs w:val="40"/>
          <w:lang w:val="en-US" w:eastAsia="zh-CN"/>
        </w:rPr>
        <w:t>分3期给予用人单位共50万元支持该类人才负责的研发项目。每月给予其个人0.3万元生活补助。分4年发放总额共10万元安家补贴；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5.高技术技能人才，</w:t>
      </w:r>
      <w:r>
        <w:rPr>
          <w:rFonts w:hint="eastAsia" w:ascii="方正仿宋_GBK" w:hAnsi="方正仿宋_GBK" w:eastAsia="方正仿宋_GBK" w:cs="方正仿宋_GBK"/>
          <w:sz w:val="32"/>
          <w:szCs w:val="40"/>
          <w:lang w:val="en-US" w:eastAsia="zh-CN"/>
        </w:rPr>
        <w:t>对正高级职称人员、副高级职称人员、高级技师人员每人每月分别给予0.3万元、0.2万元、0.1万元生活补助；每年可申报1.2万元租房补助；</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6.高学历专业化人才，</w:t>
      </w:r>
      <w:r>
        <w:rPr>
          <w:rFonts w:hint="eastAsia" w:ascii="方正仿宋_GBK" w:hAnsi="方正仿宋_GBK" w:eastAsia="方正仿宋_GBK" w:cs="方正仿宋_GBK"/>
          <w:sz w:val="32"/>
          <w:szCs w:val="40"/>
          <w:lang w:val="en-US" w:eastAsia="zh-CN"/>
        </w:rPr>
        <w:t>对全日制博士研究生、全日制硕士研究生每人每月分别给予0.4万元、0.2万元生活补助，每年可申报1.2万元租房补助。</w:t>
      </w:r>
      <w:r>
        <w:rPr>
          <w:rFonts w:hint="eastAsia" w:ascii="方正仿宋_GBK" w:hAnsi="方正仿宋_GBK" w:eastAsia="方正仿宋_GBK" w:cs="方正仿宋_GBK"/>
          <w:b/>
          <w:bCs/>
          <w:sz w:val="32"/>
          <w:szCs w:val="32"/>
          <w:lang w:val="en-US" w:eastAsia="zh-CN"/>
        </w:rPr>
        <w:t>[责任单位：县人力资源和社会保障局、县财政局]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六、老企业激发新活力奖励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（一）财政贡献奖励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对当年财政贡献</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不含财政非税收入、土地交易、建筑安装相关税费，下同</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实现100万元以上的企业，按其对比上一年度县级财政</w:t>
      </w:r>
      <w:r>
        <w:rPr>
          <w:rFonts w:hint="eastAsia" w:ascii="方正仿宋_GBK" w:hAnsi="方正仿宋_GBK" w:eastAsia="方正仿宋_GBK" w:cs="方正仿宋_GBK"/>
          <w:b w:val="0"/>
          <w:bCs w:val="0"/>
          <w:sz w:val="32"/>
          <w:szCs w:val="32"/>
          <w:lang w:eastAsia="zh-CN"/>
        </w:rPr>
        <w:t>贡献的</w:t>
      </w:r>
      <w:r>
        <w:rPr>
          <w:rFonts w:hint="eastAsia" w:ascii="方正仿宋_GBK" w:hAnsi="方正仿宋_GBK" w:eastAsia="方正仿宋_GBK" w:cs="方正仿宋_GBK"/>
          <w:b w:val="0"/>
          <w:bCs w:val="0"/>
          <w:sz w:val="32"/>
          <w:szCs w:val="32"/>
        </w:rPr>
        <w:t>增长比例，分别给予其对比上一年度县级财政</w:t>
      </w:r>
      <w:r>
        <w:rPr>
          <w:rFonts w:hint="eastAsia" w:ascii="方正仿宋_GBK" w:hAnsi="方正仿宋_GBK" w:eastAsia="方正仿宋_GBK" w:cs="方正仿宋_GBK"/>
          <w:b w:val="0"/>
          <w:bCs w:val="0"/>
          <w:sz w:val="32"/>
          <w:szCs w:val="32"/>
          <w:lang w:val="en-US" w:eastAsia="zh-CN"/>
        </w:rPr>
        <w:t>贡</w:t>
      </w:r>
      <w:r>
        <w:rPr>
          <w:rFonts w:hint="eastAsia" w:ascii="方正仿宋_GBK" w:hAnsi="方正仿宋_GBK" w:eastAsia="方正仿宋_GBK" w:cs="方正仿宋_GBK"/>
          <w:b w:val="0"/>
          <w:bCs w:val="0"/>
          <w:sz w:val="32"/>
          <w:szCs w:val="32"/>
        </w:rPr>
        <w:t>献增量部分50%、60%、80%奖励。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（二）营收增长奖励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1.上一年度主营业务收入达到1亿元至2亿元（不含2亿元）且当年同比增长100%（含）以上的工业企业（独立法人企业，不含本地关联企业主营业务收入，下同）奖励40万元。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2.上一年度主营业务收入达到2亿元至4亿元（不含4亿元）且当年同比增长80%（含）以上的工业企业奖励60万元。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3.上一年度主营业务收入达到4亿元至6亿元（不含6亿元），且当年同比增长50%（含）以上的工业企业奖励80万元。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4.上一年度主营业务收入达到6亿元至10亿元（不含10亿元）且当年同比增长20%（含）以上的工业企业奖励90万元。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（三）营收标杆奖励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1.对当年度主营业务收入达到10亿元至20亿元（不含20亿元）的工业企业（独立法人企业，不含本地关联企业主营业务收入，下同）奖励200万元。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2.对当年度主营业务收入达到20亿元至30亿元（不含30亿元）的工业企业奖励300万元。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3.对当年度主营业务收入达到30亿元至40亿元（不含40亿元）的工业企业奖励500万元。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4.对当年度主营业务收入达到40亿元至50亿元（不含</w:t>
      </w:r>
      <w:bookmarkStart w:id="0" w:name="_GoBack"/>
      <w:r>
        <w:rPr>
          <w:rFonts w:hint="eastAsia" w:ascii="方正仿宋_GBK" w:hAnsi="方正仿宋_GBK" w:eastAsia="方正仿宋_GBK" w:cs="方正仿宋_GBK"/>
          <w:b w:val="0"/>
          <w:bCs w:val="0"/>
          <w:sz w:val="32"/>
          <w:szCs w:val="32"/>
        </w:rPr>
        <w:t>50亿元）的工业企业奖励1000万元。</w:t>
      </w:r>
    </w:p>
    <w:bookmarkEnd w:id="0"/>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5.对当年度主营业务收入达到50亿元以上的工业企业奖励2000万元。</w:t>
      </w:r>
      <w:r>
        <w:rPr>
          <w:rFonts w:hint="eastAsia" w:ascii="方正仿宋_GBK" w:hAnsi="方正仿宋_GBK" w:eastAsia="方正仿宋_GBK" w:cs="方正仿宋_GBK"/>
          <w:b/>
          <w:bCs/>
          <w:sz w:val="32"/>
          <w:szCs w:val="32"/>
          <w:lang w:val="en-US" w:eastAsia="zh-CN"/>
        </w:rPr>
        <w:t>[责任单位：县工商信局、县税务局、县财政局]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七、盘活利用低效用地奖励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通过收购等方式取得低效用地使用权的企业，自行升级新建高标准厂房（新厂房容积率超过2.0），</w:t>
      </w:r>
      <w:r>
        <w:rPr>
          <w:rFonts w:hint="eastAsia" w:ascii="方正仿宋_GBK" w:hAnsi="方正仿宋_GBK" w:eastAsia="方正仿宋_GBK" w:cs="方正仿宋_GBK"/>
          <w:b/>
          <w:bCs/>
          <w:color w:val="0000FF"/>
          <w:sz w:val="32"/>
          <w:szCs w:val="32"/>
          <w:lang w:eastAsia="zh-CN"/>
        </w:rPr>
        <w:t>超出原约定容积率的新建建筑面积，在</w:t>
      </w:r>
      <w:r>
        <w:rPr>
          <w:rFonts w:hint="eastAsia" w:ascii="方正仿宋_GBK" w:hAnsi="方正仿宋_GBK" w:eastAsia="方正仿宋_GBK" w:cs="方正仿宋_GBK"/>
          <w:b w:val="0"/>
          <w:bCs w:val="0"/>
          <w:sz w:val="32"/>
          <w:szCs w:val="32"/>
          <w:lang w:eastAsia="zh-CN"/>
        </w:rPr>
        <w:t>项目竣工验收后，</w:t>
      </w:r>
      <w:r>
        <w:rPr>
          <w:rFonts w:hint="eastAsia" w:ascii="方正仿宋_GBK" w:hAnsi="方正仿宋_GBK" w:eastAsia="方正仿宋_GBK" w:cs="方正仿宋_GBK"/>
          <w:sz w:val="32"/>
          <w:szCs w:val="32"/>
          <w:lang w:eastAsia="zh-CN"/>
        </w:rPr>
        <w:t>新增建筑面积可享受300元/平方米奖励（含市级200元/平方米），</w:t>
      </w:r>
      <w:r>
        <w:rPr>
          <w:rFonts w:hint="eastAsia" w:ascii="方正仿宋_GBK" w:hAnsi="方正仿宋_GBK" w:eastAsia="方正仿宋_GBK" w:cs="方正仿宋_GBK"/>
          <w:b/>
          <w:bCs/>
          <w:color w:val="0000FF"/>
          <w:sz w:val="32"/>
          <w:szCs w:val="32"/>
          <w:lang w:eastAsia="zh-CN"/>
        </w:rPr>
        <w:t>对实施主体进行奖励，单个项目奖励不超过300万元。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原企业对现有低效用地进行盘活利用，并通过租赁等方式招引其他企业入驻新厂房。自原企业取得第一笔租赁收入之日起，按租赁入驻企业对当年度县级财政贡献的50%给予原企业奖励，连续奖励3年。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bCs/>
          <w:color w:val="auto"/>
          <w:sz w:val="32"/>
          <w:szCs w:val="32"/>
          <w:lang w:val="en-US" w:eastAsia="zh-CN"/>
        </w:rPr>
      </w:pPr>
      <w:r>
        <w:rPr>
          <w:rFonts w:hint="eastAsia" w:ascii="方正仿宋_GBK" w:hAnsi="方正仿宋_GBK" w:eastAsia="方正仿宋_GBK" w:cs="方正仿宋_GBK"/>
          <w:sz w:val="32"/>
          <w:szCs w:val="32"/>
          <w:lang w:eastAsia="zh-CN"/>
        </w:rPr>
        <w:t>3</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对通过租赁方式取得使用低效用地上改建或新建高标准厂房、工业大厦的使用权的其他企业，按其实际租赁的厂房、工业大厦面积给予每月每平方米6元的奖补，奖补年限3年。</w:t>
      </w:r>
      <w:r>
        <w:rPr>
          <w:rFonts w:hint="eastAsia" w:ascii="方正仿宋_GBK" w:hAnsi="方正仿宋_GBK" w:eastAsia="方正仿宋_GBK" w:cs="方正仿宋_GBK"/>
          <w:b/>
          <w:bCs/>
          <w:sz w:val="32"/>
          <w:szCs w:val="32"/>
          <w:lang w:val="en-US" w:eastAsia="zh-CN"/>
        </w:rPr>
        <w:t>[责任单位：县工商信局、县财政局、县工业开发区管委会、各乡镇]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八、外贸稳定增长奖励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加大对加工贸易企业支持力度。对完成技术改造的加工贸易制造业企业，除统一享受省财政技术改造事后奖补政策和市级奖励外，如企业当年出口规模达到1000万美元以上（含1000万美元）且实现正增长，则再对企业一次性给予5万元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加大对外贸进出口企业支持力度。对年进出口总额达亿美元以上的外贸企业，奖励人民币10万元；对年进出口总额3000万美元以上的外贸企业，奖励人民币5万元，对年进出口总额1000万美元以上且实现正增长的企业奖励人民币2万元；对年进出口总额在500万美元以上且实现正增长的外贸企业，奖励人民币1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3</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推动开展跨境电子商务进出口业务。强化对跨境电商进出口业务的资金扶持，对企业开展跨境电商进口业务按每进口1美元给予0.01元人民币的标准予以扶持，开展跨境电商出口业务按每出口1美元给予0.01 元人民币的标准予以扶持，每个企业每年奖励不超过100万元人民币。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sz w:val="32"/>
          <w:szCs w:val="32"/>
          <w:lang w:eastAsia="zh-CN"/>
        </w:rPr>
        <w:t>4</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强化重点企业异地进出口回流、挖潜工作。对列入清单管理的重点目标企业按每进出口回流或挖潜（异地进出口调配）1美元予以0.015 元人民币的资金扶持，每个企业每年奖励不超过100万元人民币。综合运用好工业技改、融资等政策，借力推动企业异地进出口回流。</w:t>
      </w:r>
      <w:r>
        <w:rPr>
          <w:rFonts w:hint="eastAsia" w:ascii="方正仿宋_GBK" w:hAnsi="方正仿宋_GBK" w:eastAsia="方正仿宋_GBK" w:cs="方正仿宋_GBK"/>
          <w:b/>
          <w:bCs/>
          <w:sz w:val="32"/>
          <w:szCs w:val="32"/>
          <w:lang w:val="en-US" w:eastAsia="zh-CN"/>
        </w:rPr>
        <w:t>[责任单位：县工商信局、县财政局]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九、工业项目建设奖励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2017年7月11日以来东源县辖区范围内实施建设的工业（含科创、物流等工业用地）项目。按项目实际合法建筑面积给予奖励。其中，工业厂房奖励标准为30元/平方米；工业厂房以外的建筑，1-6层的奖励标准为50元/平方米，7-9层的奖励标准为60元/平方米，10-19层的奖励标准为80元/平方米，20层以上建筑的奖励标准为90元/平方米。</w:t>
      </w:r>
      <w:r>
        <w:rPr>
          <w:rFonts w:hint="eastAsia" w:ascii="方正仿宋_GBK" w:hAnsi="方正仿宋_GBK" w:eastAsia="方正仿宋_GBK" w:cs="方正仿宋_GBK"/>
          <w:b/>
          <w:bCs/>
          <w:sz w:val="32"/>
          <w:szCs w:val="32"/>
          <w:lang w:val="en-US" w:eastAsia="zh-CN"/>
        </w:rPr>
        <w:t>[责任单位：县工商信局、县财政局、县工业开发区管委会、各乡镇]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十、先进制造业重大招商引资项目投资建设奖励</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1.</w:t>
      </w:r>
      <w:r>
        <w:rPr>
          <w:rFonts w:hint="default" w:ascii="方正仿宋_GBK" w:hAnsi="方正仿宋_GBK" w:eastAsia="方正仿宋_GBK" w:cs="方正仿宋_GBK"/>
          <w:b/>
          <w:bCs/>
          <w:sz w:val="32"/>
          <w:szCs w:val="40"/>
          <w:lang w:val="en-US" w:eastAsia="zh-CN"/>
        </w:rPr>
        <w:t>投资奖励：</w:t>
      </w:r>
      <w:r>
        <w:rPr>
          <w:rFonts w:hint="default" w:ascii="方正仿宋_GBK" w:hAnsi="方正仿宋_GBK" w:eastAsia="方正仿宋_GBK" w:cs="方正仿宋_GBK"/>
          <w:sz w:val="32"/>
          <w:szCs w:val="40"/>
          <w:lang w:val="en-US" w:eastAsia="zh-CN"/>
        </w:rPr>
        <w:t>对2021年4月1日至2025年12月31日期间项目总投资额超出10亿元，且固定资产投资大于80% （以税务主管部门核实为准）的先进制造业招商引资项目，按其实际固定资产投资额每满1亿元奖励100万元，最多不超过1000万元。</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2.</w:t>
      </w:r>
      <w:r>
        <w:rPr>
          <w:rFonts w:hint="default" w:ascii="方正仿宋_GBK" w:hAnsi="方正仿宋_GBK" w:eastAsia="方正仿宋_GBK" w:cs="方正仿宋_GBK"/>
          <w:b/>
          <w:bCs/>
          <w:sz w:val="32"/>
          <w:szCs w:val="40"/>
          <w:lang w:val="en-US" w:eastAsia="zh-CN"/>
        </w:rPr>
        <w:t>发展奖补：</w:t>
      </w:r>
      <w:r>
        <w:rPr>
          <w:rFonts w:hint="default" w:ascii="方正仿宋_GBK" w:hAnsi="方正仿宋_GBK" w:eastAsia="方正仿宋_GBK" w:cs="方正仿宋_GBK"/>
          <w:sz w:val="32"/>
          <w:szCs w:val="40"/>
          <w:lang w:val="en-US" w:eastAsia="zh-CN"/>
        </w:rPr>
        <w:t>自项目按合同约定正式投产后且达到投资合同约定的产值、税收等目标的当年起，以该项目公司当年实际缴纳税额的县级留成部分剔除10%的征收经费后全额奖补给项目公司，连续奖补三年。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方正仿宋_GBK" w:hAnsi="方正仿宋_GBK" w:eastAsia="方正仿宋_GBK" w:cs="方正仿宋_GBK"/>
          <w:sz w:val="32"/>
          <w:szCs w:val="40"/>
          <w:lang w:val="en-US" w:eastAsia="zh-CN"/>
        </w:rPr>
      </w:pPr>
      <w:r>
        <w:rPr>
          <w:rFonts w:hint="eastAsia" w:ascii="方正仿宋_GBK" w:hAnsi="方正仿宋_GBK" w:eastAsia="方正仿宋_GBK" w:cs="方正仿宋_GBK"/>
          <w:b/>
          <w:bCs/>
          <w:sz w:val="32"/>
          <w:szCs w:val="40"/>
          <w:lang w:val="en-US" w:eastAsia="zh-CN"/>
        </w:rPr>
        <w:t>3.</w:t>
      </w:r>
      <w:r>
        <w:rPr>
          <w:rFonts w:hint="default" w:ascii="方正仿宋_GBK" w:hAnsi="方正仿宋_GBK" w:eastAsia="方正仿宋_GBK" w:cs="方正仿宋_GBK"/>
          <w:b/>
          <w:bCs/>
          <w:sz w:val="32"/>
          <w:szCs w:val="40"/>
          <w:lang w:val="en-US" w:eastAsia="zh-CN"/>
        </w:rPr>
        <w:t>购房补贴：</w:t>
      </w:r>
      <w:r>
        <w:rPr>
          <w:rFonts w:hint="default" w:ascii="方正仿宋_GBK" w:hAnsi="方正仿宋_GBK" w:eastAsia="方正仿宋_GBK" w:cs="方正仿宋_GBK"/>
          <w:sz w:val="32"/>
          <w:szCs w:val="40"/>
          <w:lang w:val="en-US" w:eastAsia="zh-CN"/>
        </w:rPr>
        <w:t>对先进制造业招商项目在东源县购买社保满6个月的员工，在东源县域内购买首套住房的，硕士补贴3万元/套，博士补贴5万元/套。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仿宋_GBK" w:hAnsi="方正仿宋_GBK" w:eastAsia="方正仿宋_GBK" w:cs="方正仿宋_GBK"/>
          <w:b w:val="0"/>
          <w:bCs w:val="0"/>
          <w:color w:val="0000FF"/>
          <w:sz w:val="32"/>
          <w:szCs w:val="32"/>
          <w:lang w:val="en-US" w:eastAsia="zh-CN"/>
        </w:rPr>
        <w:t>本措施第五点人才奖励中的高学历人才租房补贴与先进制造业重大招商引资项目投资建设奖励中购房补贴不重复享受。</w:t>
      </w:r>
      <w:r>
        <w:rPr>
          <w:rFonts w:hint="eastAsia" w:ascii="方正仿宋_GBK" w:hAnsi="方正仿宋_GBK" w:eastAsia="方正仿宋_GBK" w:cs="方正仿宋_GBK"/>
          <w:b/>
          <w:bCs/>
          <w:sz w:val="32"/>
          <w:szCs w:val="32"/>
          <w:lang w:val="en-US" w:eastAsia="zh-CN"/>
        </w:rPr>
        <w:t>[责任单位：县工商信局、县委组织部、县人力资源和社会保障局、县财政局、县税务局、县工业开发区管委会、各乡镇]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十一、贷款贴息奖励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40"/>
          <w:lang w:val="en-US" w:eastAsia="zh-CN"/>
        </w:rPr>
        <w:t>对新增固定资产投资达500万元以上的已投产企业，</w:t>
      </w:r>
      <w:r>
        <w:rPr>
          <w:rFonts w:hint="eastAsia" w:ascii="方正仿宋_GBK" w:hAnsi="方正仿宋_GBK" w:eastAsia="方正仿宋_GBK" w:cs="方正仿宋_GBK"/>
          <w:sz w:val="32"/>
          <w:szCs w:val="32"/>
          <w:lang w:val="en-US" w:eastAsia="zh-CN"/>
        </w:rPr>
        <w:t>新增</w:t>
      </w:r>
      <w:r>
        <w:rPr>
          <w:rFonts w:hint="eastAsia" w:ascii="方正仿宋_GBK" w:hAnsi="方正仿宋_GBK" w:eastAsia="方正仿宋_GBK" w:cs="方正仿宋_GBK"/>
          <w:sz w:val="32"/>
          <w:szCs w:val="32"/>
        </w:rPr>
        <w:t>固定资产投资</w:t>
      </w:r>
      <w:r>
        <w:rPr>
          <w:rFonts w:hint="eastAsia" w:ascii="方正仿宋_GBK" w:hAnsi="方正仿宋_GBK" w:eastAsia="方正仿宋_GBK" w:cs="方正仿宋_GBK"/>
          <w:sz w:val="32"/>
          <w:szCs w:val="32"/>
          <w:lang w:val="en-US" w:eastAsia="zh-CN"/>
        </w:rPr>
        <w:t>达</w:t>
      </w:r>
      <w:r>
        <w:rPr>
          <w:rFonts w:hint="eastAsia" w:ascii="方正仿宋_GBK" w:hAnsi="方正仿宋_GBK" w:eastAsia="方正仿宋_GBK" w:cs="方正仿宋_GBK"/>
          <w:sz w:val="32"/>
          <w:szCs w:val="32"/>
          <w:u w:val="single"/>
          <w:lang w:val="en-US" w:eastAsia="zh-CN"/>
        </w:rPr>
        <w:t>1000万元</w:t>
      </w:r>
      <w:r>
        <w:rPr>
          <w:rFonts w:hint="eastAsia" w:ascii="方正仿宋_GBK" w:hAnsi="方正仿宋_GBK" w:eastAsia="方正仿宋_GBK" w:cs="方正仿宋_GBK"/>
          <w:sz w:val="32"/>
          <w:szCs w:val="32"/>
          <w:lang w:val="en-US" w:eastAsia="zh-CN"/>
        </w:rPr>
        <w:t>以上的</w:t>
      </w:r>
      <w:r>
        <w:rPr>
          <w:rFonts w:hint="eastAsia" w:ascii="方正仿宋_GBK" w:hAnsi="方正仿宋_GBK" w:eastAsia="方正仿宋_GBK" w:cs="方正仿宋_GBK"/>
          <w:sz w:val="32"/>
          <w:szCs w:val="32"/>
        </w:rPr>
        <w:t>招商引资落户企业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40"/>
          <w:lang w:val="en-US" w:eastAsia="zh-CN"/>
        </w:rPr>
        <w:t>采取贷款贴息的方式给予支持。因本次新增固定资产投资而实际发生的银行贷款利息超5万元以上的进行事后奖补，每家企业当年贴息奖补总额最高不超过100万元，同一项目连续奖补时间不超过3年。</w:t>
      </w:r>
      <w:r>
        <w:rPr>
          <w:rFonts w:hint="eastAsia" w:ascii="方正仿宋_GBK" w:hAnsi="方正仿宋_GBK" w:eastAsia="方正仿宋_GBK" w:cs="方正仿宋_GBK"/>
          <w:b/>
          <w:bCs/>
          <w:sz w:val="32"/>
          <w:szCs w:val="32"/>
          <w:lang w:val="en-US" w:eastAsia="zh-CN"/>
        </w:rPr>
        <w:t>[责任单位：县工商信局牵头、县财政局、县工业开发区管委会、各乡镇]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十二、重大产业项目“一事一议”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b w:val="0"/>
          <w:bCs w:val="0"/>
          <w:sz w:val="32"/>
          <w:szCs w:val="32"/>
          <w:lang w:val="en-US" w:eastAsia="zh-CN"/>
        </w:rPr>
      </w:pPr>
      <w:r>
        <w:rPr>
          <w:rFonts w:hint="default" w:ascii="方正仿宋_GBK" w:hAnsi="方正仿宋_GBK" w:eastAsia="方正仿宋_GBK" w:cs="方正仿宋_GBK"/>
          <w:b w:val="0"/>
          <w:bCs w:val="0"/>
          <w:sz w:val="32"/>
          <w:szCs w:val="32"/>
          <w:lang w:val="en-US" w:eastAsia="zh-CN"/>
        </w:rPr>
        <w:t>“一事一议”专项政策，是在本政策基础上，经县委、县政府研究认定其他符合我县重点培育产业方向的新引进的重点项目及投资额特别重大的项目实行的优惠幅度更大、奖励数额更多等政策。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十三、政策执行要求及期限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本政策措施由东源县工业商务和信息化局会同各责任单位负责解释。本政策措施2023年  月  日开始实施，2026年  月  日失效（新上规奖励政策按照东府办〔2022〕14号文件规定内容及期限执行，融资支持政策按照东府办〔2022〕10号文件规定内容及期限执行，上市奖励政策按照东府办〔2022〕19号文件规定内容及期限执行，人才奖励政策按照东委办发〔2020〕35号文件规定内容及期限执行，老企业激发新活力奖励政策按照东府办〔2022〕13号文件规定内容及期限执行，盘活利用低效用地奖励政策按照东府办〔2022〕12号文件规定内容及期限执行，</w:t>
      </w:r>
      <w:r>
        <w:rPr>
          <w:rFonts w:hint="eastAsia" w:ascii="方正仿宋_GBK" w:hAnsi="方正仿宋_GBK" w:eastAsia="方正仿宋_GBK" w:cs="方正仿宋_GBK"/>
          <w:b w:val="0"/>
          <w:bCs w:val="0"/>
          <w:sz w:val="32"/>
          <w:szCs w:val="32"/>
          <w:u w:val="single"/>
          <w:lang w:val="en-US" w:eastAsia="zh-CN"/>
        </w:rPr>
        <w:t>外贸稳定增长奖励政策按照东工商信〔2021〕10号文件规定内容及期限执行</w:t>
      </w:r>
      <w:r>
        <w:rPr>
          <w:rFonts w:hint="eastAsia" w:ascii="方正仿宋_GBK" w:hAnsi="方正仿宋_GBK" w:eastAsia="方正仿宋_GBK" w:cs="方正仿宋_GBK"/>
          <w:b w:val="0"/>
          <w:bCs w:val="0"/>
          <w:sz w:val="32"/>
          <w:szCs w:val="32"/>
          <w:lang w:val="en-US" w:eastAsia="zh-CN"/>
        </w:rPr>
        <w:t>，工业项目建设奖</w:t>
      </w:r>
      <w:r>
        <w:rPr>
          <w:rFonts w:hint="eastAsia" w:ascii="方正仿宋_GBK" w:hAnsi="方正仿宋_GBK" w:eastAsia="方正仿宋_GBK" w:cs="方正仿宋_GBK"/>
          <w:b w:val="0"/>
          <w:bCs w:val="0"/>
          <w:sz w:val="32"/>
          <w:szCs w:val="32"/>
          <w:u w:val="none"/>
          <w:lang w:val="en-US" w:eastAsia="zh-CN"/>
        </w:rPr>
        <w:t>励政策按照东府办〔2022〕18号文件规定</w:t>
      </w:r>
      <w:r>
        <w:rPr>
          <w:rFonts w:hint="eastAsia" w:ascii="方正仿宋_GBK" w:hAnsi="方正仿宋_GBK" w:eastAsia="方正仿宋_GBK" w:cs="方正仿宋_GBK"/>
          <w:b w:val="0"/>
          <w:bCs w:val="0"/>
          <w:sz w:val="32"/>
          <w:szCs w:val="32"/>
          <w:lang w:val="en-US" w:eastAsia="zh-CN"/>
        </w:rPr>
        <w:t>内容及</w:t>
      </w:r>
      <w:r>
        <w:rPr>
          <w:rFonts w:hint="eastAsia" w:ascii="方正仿宋_GBK" w:hAnsi="方正仿宋_GBK" w:eastAsia="方正仿宋_GBK" w:cs="方正仿宋_GBK"/>
          <w:b w:val="0"/>
          <w:bCs w:val="0"/>
          <w:sz w:val="32"/>
          <w:szCs w:val="32"/>
          <w:u w:val="none"/>
          <w:lang w:val="en-US" w:eastAsia="zh-CN"/>
        </w:rPr>
        <w:t>期限执行</w:t>
      </w:r>
      <w:r>
        <w:rPr>
          <w:rFonts w:hint="eastAsia" w:ascii="方正仿宋_GBK" w:hAnsi="方正仿宋_GBK" w:eastAsia="方正仿宋_GBK" w:cs="方正仿宋_GBK"/>
          <w:b w:val="0"/>
          <w:bCs w:val="0"/>
          <w:sz w:val="32"/>
          <w:szCs w:val="32"/>
          <w:lang w:val="en-US" w:eastAsia="zh-CN"/>
        </w:rPr>
        <w:t>，先进制造业重大招商引资项目投资建设奖励</w:t>
      </w:r>
      <w:r>
        <w:rPr>
          <w:rFonts w:hint="eastAsia" w:ascii="方正仿宋_GBK" w:hAnsi="方正仿宋_GBK" w:eastAsia="方正仿宋_GBK" w:cs="方正仿宋_GBK"/>
          <w:b w:val="0"/>
          <w:bCs w:val="0"/>
          <w:sz w:val="32"/>
          <w:szCs w:val="32"/>
          <w:u w:val="none"/>
          <w:lang w:val="en-US" w:eastAsia="zh-CN"/>
        </w:rPr>
        <w:t>政策按照</w:t>
      </w:r>
      <w:r>
        <w:rPr>
          <w:rFonts w:hint="eastAsia" w:ascii="方正仿宋_GBK" w:hAnsi="方正仿宋_GBK" w:eastAsia="方正仿宋_GBK" w:cs="方正仿宋_GBK"/>
          <w:b w:val="0"/>
          <w:bCs w:val="0"/>
          <w:sz w:val="32"/>
          <w:szCs w:val="32"/>
          <w:lang w:val="en-US" w:eastAsia="zh-CN"/>
        </w:rPr>
        <w:t>东府办〔2021〕19号</w:t>
      </w:r>
      <w:r>
        <w:rPr>
          <w:rFonts w:hint="eastAsia" w:ascii="方正仿宋_GBK" w:hAnsi="方正仿宋_GBK" w:eastAsia="方正仿宋_GBK" w:cs="方正仿宋_GBK"/>
          <w:b w:val="0"/>
          <w:bCs w:val="0"/>
          <w:sz w:val="32"/>
          <w:szCs w:val="32"/>
          <w:u w:val="none"/>
          <w:lang w:val="en-US" w:eastAsia="zh-CN"/>
        </w:rPr>
        <w:t>文件规定</w:t>
      </w:r>
      <w:r>
        <w:rPr>
          <w:rFonts w:hint="eastAsia" w:ascii="方正仿宋_GBK" w:hAnsi="方正仿宋_GBK" w:eastAsia="方正仿宋_GBK" w:cs="方正仿宋_GBK"/>
          <w:b w:val="0"/>
          <w:bCs w:val="0"/>
          <w:sz w:val="32"/>
          <w:szCs w:val="32"/>
          <w:lang w:val="en-US" w:eastAsia="zh-CN"/>
        </w:rPr>
        <w:t>内容及</w:t>
      </w:r>
      <w:r>
        <w:rPr>
          <w:rFonts w:hint="eastAsia" w:ascii="方正仿宋_GBK" w:hAnsi="方正仿宋_GBK" w:eastAsia="方正仿宋_GBK" w:cs="方正仿宋_GBK"/>
          <w:b w:val="0"/>
          <w:bCs w:val="0"/>
          <w:sz w:val="32"/>
          <w:szCs w:val="32"/>
          <w:u w:val="none"/>
          <w:lang w:val="en-US" w:eastAsia="zh-CN"/>
        </w:rPr>
        <w:t>期限执行）。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方正仿宋_GBK" w:hAnsi="方正仿宋_GBK" w:eastAsia="方正仿宋_GBK" w:cs="方正仿宋_GBK"/>
          <w:b w:val="0"/>
          <w:bCs w:val="0"/>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5MTNhYmMwMWQyMmI4MjhiMTM3MzRiMDNlYzM4ODAifQ=="/>
  </w:docVars>
  <w:rsids>
    <w:rsidRoot w:val="00000000"/>
    <w:rsid w:val="04F03C97"/>
    <w:rsid w:val="055B0742"/>
    <w:rsid w:val="07697D31"/>
    <w:rsid w:val="0AE477B3"/>
    <w:rsid w:val="0DC235CF"/>
    <w:rsid w:val="134E4BED"/>
    <w:rsid w:val="152C46AB"/>
    <w:rsid w:val="19021BAA"/>
    <w:rsid w:val="1B7F1585"/>
    <w:rsid w:val="1DED4DC0"/>
    <w:rsid w:val="1F8B4890"/>
    <w:rsid w:val="205A3D2E"/>
    <w:rsid w:val="209A16C4"/>
    <w:rsid w:val="212925B3"/>
    <w:rsid w:val="225C2514"/>
    <w:rsid w:val="23584964"/>
    <w:rsid w:val="239305D8"/>
    <w:rsid w:val="26695200"/>
    <w:rsid w:val="29B64C00"/>
    <w:rsid w:val="2D082EB4"/>
    <w:rsid w:val="2D724D99"/>
    <w:rsid w:val="2DF84038"/>
    <w:rsid w:val="30F040CD"/>
    <w:rsid w:val="39B92997"/>
    <w:rsid w:val="3CFA1336"/>
    <w:rsid w:val="3E75078E"/>
    <w:rsid w:val="410F340B"/>
    <w:rsid w:val="4DB82445"/>
    <w:rsid w:val="54B02A08"/>
    <w:rsid w:val="59F97311"/>
    <w:rsid w:val="5C076A71"/>
    <w:rsid w:val="60BB607C"/>
    <w:rsid w:val="6A3F387A"/>
    <w:rsid w:val="70A530FC"/>
    <w:rsid w:val="71956476"/>
    <w:rsid w:val="72445206"/>
    <w:rsid w:val="7B082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3750</Words>
  <Characters>4004</Characters>
  <Lines>0</Lines>
  <Paragraphs>0</Paragraphs>
  <TotalTime>13</TotalTime>
  <ScaleCrop>false</ScaleCrop>
  <LinksUpToDate>false</LinksUpToDate>
  <CharactersWithSpaces>4015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2023-02-13T14:55:00Z</dcterms:created>
  <dc:creator>Administrator</dc:creator>
  <cp:lastModifiedBy>周晓华</cp:lastModifiedBy>
  <cp:lastPrinted>2023-04-27T13:11:00Z</cp:lastPrinted>
  <dcterms:modified xsi:type="dcterms:W3CDTF">2023-05-17T15:35:45Z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18FB851542094676931426E795FCA333</vt:lpwstr>
  </property>
</Properties>
</file>