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60" w:lineRule="exact"/>
        <w:jc w:val="center"/>
        <w:outlineLvl w:val="0"/>
        <w:rPr>
          <w:rFonts w:ascii="方正小标宋简体" w:hAnsi="方正小标宋简体" w:eastAsia="方正小标宋简体" w:cs="方正小标宋简体"/>
          <w:color w:val="000000"/>
          <w:kern w:val="0"/>
          <w:sz w:val="44"/>
          <w:szCs w:val="44"/>
          <w:lang w:bidi="ar"/>
        </w:rPr>
      </w:pPr>
      <w:r>
        <w:rPr>
          <w:rFonts w:hint="eastAsia" w:ascii="方正小标宋简体" w:hAnsi="方正小标宋简体" w:eastAsia="方正小标宋简体" w:cs="方正小标宋简体"/>
          <w:color w:val="000000"/>
          <w:kern w:val="0"/>
          <w:sz w:val="44"/>
          <w:szCs w:val="44"/>
          <w:lang w:bidi="ar"/>
        </w:rPr>
        <w:t>河源市东源县全域土地综合整治实施方案</w:t>
      </w:r>
    </w:p>
    <w:p>
      <w:pPr>
        <w:widowControl/>
        <w:spacing w:line="560" w:lineRule="exact"/>
        <w:jc w:val="center"/>
        <w:outlineLvl w:val="0"/>
        <w:rPr>
          <w:rFonts w:ascii="方正小标宋简体" w:hAnsi="方正小标宋简体" w:eastAsia="方正小标宋简体" w:cs="方正小标宋简体"/>
          <w:color w:val="000000"/>
          <w:kern w:val="0"/>
          <w:sz w:val="44"/>
          <w:szCs w:val="44"/>
          <w:lang w:bidi="ar"/>
        </w:rPr>
      </w:pPr>
      <w:r>
        <w:rPr>
          <w:rFonts w:hint="eastAsia" w:ascii="方正小标宋简体" w:hAnsi="方正小标宋简体" w:eastAsia="方正小标宋简体" w:cs="方正小标宋简体"/>
          <w:color w:val="000000"/>
          <w:kern w:val="0"/>
          <w:sz w:val="44"/>
          <w:szCs w:val="44"/>
          <w:lang w:bidi="ar"/>
        </w:rPr>
        <w:t>（公示稿）</w:t>
      </w:r>
    </w:p>
    <w:p>
      <w:pPr>
        <w:rPr>
          <w:rFonts w:ascii="仿宋_GB2312" w:eastAsia="仿宋_GB2312"/>
          <w:b/>
          <w:bCs/>
          <w:sz w:val="32"/>
          <w:szCs w:val="32"/>
        </w:rPr>
      </w:pPr>
      <w:r>
        <w:rPr>
          <w:rFonts w:hint="eastAsia" w:ascii="仿宋_GB2312" w:eastAsia="仿宋_GB2312"/>
          <w:b/>
          <w:bCs/>
          <w:sz w:val="32"/>
          <w:szCs w:val="32"/>
        </w:rPr>
        <w:t>一、项目概况</w:t>
      </w:r>
    </w:p>
    <w:p>
      <w:pPr>
        <w:ind w:firstLine="643" w:firstLineChars="200"/>
        <w:rPr>
          <w:rFonts w:ascii="仿宋_GB2312" w:eastAsia="仿宋_GB2312"/>
          <w:sz w:val="32"/>
          <w:szCs w:val="32"/>
        </w:rPr>
      </w:pPr>
      <w:r>
        <w:rPr>
          <w:rFonts w:hint="eastAsia" w:ascii="仿宋_GB2312" w:eastAsia="仿宋_GB2312"/>
          <w:b/>
          <w:bCs/>
          <w:sz w:val="32"/>
          <w:szCs w:val="32"/>
        </w:rPr>
        <w:t>项目名称：</w:t>
      </w:r>
      <w:r>
        <w:rPr>
          <w:rFonts w:hint="eastAsia" w:ascii="仿宋_GB2312" w:eastAsia="仿宋_GB2312"/>
          <w:sz w:val="32"/>
          <w:szCs w:val="32"/>
        </w:rPr>
        <w:t>河源市东源县全域土地综合整治实施方案</w:t>
      </w:r>
    </w:p>
    <w:p>
      <w:pPr>
        <w:ind w:firstLine="643" w:firstLineChars="200"/>
        <w:rPr>
          <w:rFonts w:ascii="仿宋_GB2312" w:eastAsia="仿宋_GB2312"/>
          <w:sz w:val="32"/>
          <w:szCs w:val="32"/>
        </w:rPr>
      </w:pPr>
      <w:r>
        <w:rPr>
          <w:rFonts w:hint="eastAsia" w:ascii="仿宋_GB2312" w:eastAsia="仿宋_GB2312"/>
          <w:b/>
          <w:bCs/>
          <w:sz w:val="32"/>
          <w:szCs w:val="32"/>
        </w:rPr>
        <w:t>实施范围：</w:t>
      </w:r>
      <w:r>
        <w:rPr>
          <w:rFonts w:hint="eastAsia" w:ascii="仿宋_GB2312" w:eastAsia="仿宋_GB2312"/>
          <w:sz w:val="32"/>
          <w:szCs w:val="32"/>
        </w:rPr>
        <w:t>全域土地综合整治范围为东源县全域，总面积</w:t>
      </w:r>
      <w:r>
        <w:rPr>
          <w:rFonts w:ascii="仿宋_GB2312" w:eastAsia="仿宋_GB2312"/>
          <w:sz w:val="32"/>
          <w:szCs w:val="32"/>
        </w:rPr>
        <w:t>4070平方公里，涉及20个镇，1个民族乡，287个村（社区）</w:t>
      </w:r>
      <w:r>
        <w:rPr>
          <w:rFonts w:hint="eastAsia" w:ascii="仿宋_GB2312" w:eastAsia="仿宋_GB2312"/>
          <w:sz w:val="32"/>
          <w:szCs w:val="32"/>
        </w:rPr>
        <w:t>。</w:t>
      </w:r>
    </w:p>
    <w:p>
      <w:pPr>
        <w:ind w:firstLine="643" w:firstLineChars="200"/>
        <w:rPr>
          <w:rFonts w:ascii="仿宋_GB2312" w:eastAsia="仿宋_GB2312"/>
          <w:sz w:val="32"/>
          <w:szCs w:val="32"/>
        </w:rPr>
      </w:pPr>
      <w:r>
        <w:rPr>
          <w:rFonts w:hint="eastAsia" w:ascii="仿宋_GB2312" w:eastAsia="仿宋_GB2312"/>
          <w:b/>
          <w:bCs/>
          <w:sz w:val="32"/>
          <w:szCs w:val="32"/>
        </w:rPr>
        <w:t>规划期限：</w:t>
      </w:r>
      <w:r>
        <w:rPr>
          <w:rFonts w:hint="eastAsia" w:ascii="仿宋_GB2312" w:eastAsia="仿宋_GB2312"/>
          <w:sz w:val="32"/>
          <w:szCs w:val="32"/>
        </w:rPr>
        <w:t>实施期限为四年，即</w:t>
      </w:r>
      <w:r>
        <w:rPr>
          <w:rFonts w:ascii="仿宋_GB2312" w:eastAsia="仿宋_GB2312"/>
          <w:sz w:val="32"/>
          <w:szCs w:val="32"/>
        </w:rPr>
        <w:t>2024年4月至2028年4月（实际起始时间以备案时间为准）。其中2024年、2025年实施项目衔接省当年开工、竣工考核要求。</w:t>
      </w:r>
    </w:p>
    <w:p>
      <w:pPr>
        <w:ind w:firstLine="643" w:firstLineChars="200"/>
        <w:rPr>
          <w:rFonts w:ascii="仿宋_GB2312" w:eastAsia="仿宋_GB2312"/>
          <w:sz w:val="32"/>
          <w:szCs w:val="32"/>
        </w:rPr>
      </w:pPr>
      <w:r>
        <w:rPr>
          <w:rFonts w:hint="eastAsia" w:ascii="仿宋_GB2312" w:eastAsia="仿宋_GB2312"/>
          <w:b/>
          <w:bCs/>
          <w:sz w:val="32"/>
          <w:szCs w:val="32"/>
        </w:rPr>
        <w:t>实施规模：</w:t>
      </w:r>
      <w:r>
        <w:rPr>
          <w:rFonts w:hint="eastAsia" w:ascii="仿宋_GB2312" w:eastAsia="仿宋_GB2312"/>
          <w:sz w:val="32"/>
          <w:szCs w:val="32"/>
        </w:rPr>
        <w:t>东源县全域土地综合整治子项目总规模，总面积为</w:t>
      </w:r>
      <w:r>
        <w:rPr>
          <w:rFonts w:ascii="仿宋_GB2312" w:eastAsia="仿宋_GB2312"/>
          <w:sz w:val="32"/>
          <w:szCs w:val="32"/>
        </w:rPr>
        <w:t>7517.7726</w:t>
      </w:r>
      <w:r>
        <w:rPr>
          <w:rFonts w:hint="eastAsia" w:ascii="仿宋_GB2312" w:eastAsia="仿宋_GB2312"/>
          <w:sz w:val="32"/>
          <w:szCs w:val="32"/>
        </w:rPr>
        <w:t>公顷。</w:t>
      </w:r>
    </w:p>
    <w:p>
      <w:pPr>
        <w:rPr>
          <w:rFonts w:ascii="仿宋_GB2312" w:eastAsia="仿宋_GB2312"/>
          <w:b/>
          <w:bCs/>
          <w:sz w:val="32"/>
          <w:szCs w:val="32"/>
        </w:rPr>
      </w:pPr>
      <w:r>
        <w:rPr>
          <w:rFonts w:hint="eastAsia" w:ascii="仿宋_GB2312" w:eastAsia="仿宋_GB2312"/>
          <w:b/>
          <w:bCs/>
          <w:sz w:val="32"/>
          <w:szCs w:val="32"/>
        </w:rPr>
        <w:t>二、整治目标</w:t>
      </w:r>
    </w:p>
    <w:p>
      <w:pPr>
        <w:ind w:firstLine="640" w:firstLineChars="200"/>
        <w:rPr>
          <w:rFonts w:ascii="仿宋_GB2312" w:eastAsia="仿宋_GB2312"/>
          <w:sz w:val="32"/>
          <w:szCs w:val="32"/>
        </w:rPr>
      </w:pPr>
      <w:r>
        <w:rPr>
          <w:rFonts w:hint="eastAsia" w:ascii="仿宋_GB2312" w:eastAsia="仿宋_GB2312"/>
          <w:sz w:val="32"/>
          <w:szCs w:val="32"/>
        </w:rPr>
        <w:t>根据《中共东源县委办公室</w:t>
      </w:r>
      <w:r>
        <w:rPr>
          <w:rFonts w:ascii="仿宋_GB2312" w:eastAsia="仿宋_GB2312"/>
          <w:sz w:val="32"/>
          <w:szCs w:val="32"/>
        </w:rPr>
        <w:t xml:space="preserve"> 东源县人民政府办公室 关于全面推进“百县千镇万村高质量发展工程”促进城乡区域协调发展的实施方案》、东源县国民经济与社会发展</w:t>
      </w:r>
      <w:r>
        <w:rPr>
          <w:rFonts w:hint="eastAsia" w:ascii="仿宋_GB2312" w:eastAsia="仿宋_GB2312"/>
          <w:sz w:val="32"/>
          <w:szCs w:val="32"/>
          <w:lang w:eastAsia="zh-CN"/>
        </w:rPr>
        <w:t>“</w:t>
      </w:r>
      <w:r>
        <w:rPr>
          <w:rFonts w:ascii="仿宋_GB2312" w:eastAsia="仿宋_GB2312"/>
          <w:sz w:val="32"/>
          <w:szCs w:val="32"/>
        </w:rPr>
        <w:t>十四五</w:t>
      </w:r>
      <w:bookmarkStart w:id="0" w:name="_GoBack"/>
      <w:bookmarkEnd w:id="0"/>
      <w:r>
        <w:rPr>
          <w:rFonts w:hint="eastAsia" w:ascii="仿宋_GB2312" w:eastAsia="仿宋_GB2312"/>
          <w:sz w:val="32"/>
          <w:szCs w:val="32"/>
          <w:lang w:eastAsia="zh-CN"/>
        </w:rPr>
        <w:t>”</w:t>
      </w:r>
      <w:r>
        <w:rPr>
          <w:rFonts w:ascii="仿宋_GB2312" w:eastAsia="仿宋_GB2312"/>
          <w:sz w:val="32"/>
          <w:szCs w:val="32"/>
        </w:rPr>
        <w:t>规划、近三年政府工作报告、国土空间总体规划，2024年，东源县将围绕建设典型县目标，加快实现绿色崛起，力争到2035年跻身全省经济“十强县”。</w:t>
      </w:r>
    </w:p>
    <w:p>
      <w:pPr>
        <w:ind w:firstLine="640" w:firstLineChars="200"/>
      </w:pPr>
      <w:r>
        <w:rPr>
          <w:rFonts w:hint="eastAsia" w:ascii="仿宋_GB2312" w:eastAsia="仿宋_GB2312"/>
          <w:sz w:val="32"/>
          <w:szCs w:val="32"/>
        </w:rPr>
        <w:t>衔接发展规划与空间规划目标，提出将东源打造成为以湾区优质高端创业延伸和生态农业创新发展为核心，以百里东江画卷和优质产业平台建设为整治方向、</w:t>
      </w:r>
      <w:r>
        <w:rPr>
          <w:rFonts w:ascii="仿宋_GB2312" w:eastAsia="仿宋_GB2312"/>
          <w:sz w:val="32"/>
          <w:szCs w:val="32"/>
        </w:rPr>
        <w:t xml:space="preserve"> “良田连片、村庄集中、产业集聚、生态优美” 的粤北流域综合整治典范。</w:t>
      </w:r>
    </w:p>
    <w:p>
      <w:pPr>
        <w:rPr>
          <w:rFonts w:ascii="仿宋_GB2312" w:eastAsia="仿宋_GB2312"/>
          <w:b/>
          <w:bCs/>
          <w:sz w:val="32"/>
          <w:szCs w:val="32"/>
        </w:rPr>
      </w:pPr>
      <w:r>
        <w:rPr>
          <w:rFonts w:hint="eastAsia" w:ascii="仿宋_GB2312" w:eastAsia="仿宋_GB2312"/>
          <w:b/>
          <w:bCs/>
          <w:sz w:val="32"/>
          <w:szCs w:val="32"/>
        </w:rPr>
        <w:t>三、工作内容</w:t>
      </w:r>
    </w:p>
    <w:p>
      <w:pPr>
        <w:ind w:firstLine="640" w:firstLineChars="200"/>
        <w:rPr>
          <w:rFonts w:ascii="仿宋_GB2312" w:eastAsia="仿宋_GB2312"/>
          <w:sz w:val="32"/>
          <w:szCs w:val="32"/>
        </w:rPr>
      </w:pPr>
      <w:r>
        <w:rPr>
          <w:rFonts w:hint="eastAsia" w:ascii="仿宋_GB2312" w:eastAsia="仿宋_GB2312"/>
          <w:sz w:val="32"/>
          <w:szCs w:val="32"/>
        </w:rPr>
        <w:t>本次全域土地综合整治涉及六项工作，分别为农用地整理、建设用地整理、乡村生态保护和修复、乡村风貌提升及历史文化保护、产业导入、基础设施与公共服务设施建设，拟打造一批集中连片良田、建设一片产业集聚平台与品质集中村居、营造一方客乡优美生态。按照系统梳理谋划</w:t>
      </w:r>
      <w:r>
        <w:rPr>
          <w:rFonts w:ascii="仿宋_GB2312" w:eastAsia="仿宋_GB2312"/>
          <w:sz w:val="32"/>
          <w:szCs w:val="32"/>
        </w:rPr>
        <w:t>-实地调研走访-指导乡镇上报-筛选整合梳理-重点对接辅导的工作步骤，上下联动、整合优化形成27个项目包（包含91个子项目），涉及18个乡镇，整治面积共10.66万亩，总投资（含政府专项债，未含债券利息）114.69亿元，预计项目实施后，新增耕地12449亩，建成高标准农田6万亩+，腾退建设用地近10491亩</w:t>
      </w:r>
      <w:r>
        <w:rPr>
          <w:rFonts w:hint="eastAsia" w:ascii="仿宋_GB2312" w:eastAsia="仿宋_GB2312"/>
          <w:sz w:val="32"/>
          <w:szCs w:val="32"/>
        </w:rPr>
        <w:t>。</w:t>
      </w:r>
    </w:p>
    <w:p>
      <w:pPr>
        <w:ind w:firstLine="643" w:firstLineChars="200"/>
        <w:rPr>
          <w:rFonts w:ascii="仿宋_GB2312" w:eastAsia="仿宋_GB2312"/>
          <w:sz w:val="32"/>
          <w:szCs w:val="32"/>
        </w:rPr>
      </w:pPr>
      <w:r>
        <w:rPr>
          <w:rFonts w:hint="eastAsia" w:ascii="仿宋_GB2312" w:eastAsia="仿宋_GB2312"/>
          <w:b/>
          <w:bCs/>
          <w:sz w:val="32"/>
          <w:szCs w:val="32"/>
        </w:rPr>
        <w:t>打造一批集中连片良田：</w:t>
      </w:r>
      <w:r>
        <w:rPr>
          <w:rFonts w:hint="eastAsia" w:ascii="仿宋_GB2312" w:eastAsia="仿宋_GB2312"/>
          <w:sz w:val="32"/>
          <w:szCs w:val="32"/>
        </w:rPr>
        <w:t>实施农用地整理项目</w:t>
      </w:r>
      <w:r>
        <w:rPr>
          <w:rFonts w:ascii="仿宋_GB2312" w:eastAsia="仿宋_GB2312"/>
          <w:sz w:val="32"/>
          <w:szCs w:val="32"/>
        </w:rPr>
        <w:t>33个，涉及整治区域共7.0463万亩，统筹安排耕地集中连片整治项目9个（2395.2000亩）、高标准农田建设2个（57153.6855亩）、补充耕地项目7个（4927.8400亩）、耕地恢复项目12个（5472.8700亩），其他农用地整理项目3个（513.6570亩），总投资11.66亿元，其中财政投资（含政府专项债，未含债券利息）11.24亿元，收益19.02亿元（不含12.45亿元奖励指标价值）；社会投资0.42亿元。</w:t>
      </w:r>
    </w:p>
    <w:p>
      <w:pPr>
        <w:ind w:firstLine="640" w:firstLineChars="200"/>
        <w:rPr>
          <w:rFonts w:ascii="仿宋_GB2312" w:eastAsia="仿宋_GB2312"/>
          <w:sz w:val="32"/>
          <w:szCs w:val="32"/>
        </w:rPr>
      </w:pPr>
      <w:r>
        <w:rPr>
          <w:rFonts w:hint="eastAsia" w:ascii="仿宋_GB2312" w:eastAsia="仿宋_GB2312"/>
          <w:sz w:val="32"/>
          <w:szCs w:val="32"/>
        </w:rPr>
        <w:t>预计项目实施后，新增耕地面积</w:t>
      </w:r>
      <w:r>
        <w:rPr>
          <w:rFonts w:ascii="仿宋_GB2312" w:eastAsia="仿宋_GB2312"/>
          <w:sz w:val="32"/>
          <w:szCs w:val="32"/>
        </w:rPr>
        <w:t>12449亩，新增耕地面积比为4.29%，高于粤东西北地区完成耕地面积增加3%要求；耕地质量有提升，建成高标准农田6万亩+；涉及永久基本农田优化布局约300亩，调整后新增永久基本农田面积500亩，不少于调整面积的5%。</w:t>
      </w:r>
    </w:p>
    <w:p>
      <w:pPr>
        <w:ind w:firstLine="640" w:firstLineChars="200"/>
        <w:rPr>
          <w:rFonts w:ascii="仿宋_GB2312" w:eastAsia="仿宋_GB2312"/>
          <w:sz w:val="32"/>
          <w:szCs w:val="32"/>
        </w:rPr>
      </w:pPr>
      <w:r>
        <w:rPr>
          <w:rFonts w:hint="eastAsia" w:ascii="仿宋_GB2312" w:eastAsia="仿宋_GB2312"/>
          <w:sz w:val="32"/>
          <w:szCs w:val="32"/>
        </w:rPr>
        <w:t>计划</w:t>
      </w:r>
      <w:r>
        <w:rPr>
          <w:rFonts w:ascii="仿宋_GB2312" w:eastAsia="仿宋_GB2312"/>
          <w:sz w:val="32"/>
          <w:szCs w:val="32"/>
        </w:rPr>
        <w:t>2024年实施项目6个，总投资3.56亿元，其中，政府投资3.14亿元，社会投资0.42亿元。</w:t>
      </w:r>
    </w:p>
    <w:p>
      <w:pPr>
        <w:ind w:firstLine="643" w:firstLineChars="200"/>
        <w:rPr>
          <w:rFonts w:ascii="仿宋_GB2312" w:eastAsia="仿宋_GB2312"/>
          <w:sz w:val="32"/>
          <w:szCs w:val="32"/>
        </w:rPr>
      </w:pPr>
      <w:r>
        <w:rPr>
          <w:rFonts w:hint="eastAsia" w:ascii="仿宋_GB2312" w:eastAsia="仿宋_GB2312"/>
          <w:b/>
          <w:bCs/>
          <w:sz w:val="32"/>
          <w:szCs w:val="32"/>
        </w:rPr>
        <w:t>建设一片产业集聚平台与品质集中村居：</w:t>
      </w:r>
      <w:r>
        <w:rPr>
          <w:rFonts w:hint="eastAsia" w:ascii="仿宋_GB2312" w:eastAsia="仿宋_GB2312"/>
          <w:sz w:val="32"/>
          <w:szCs w:val="32"/>
        </w:rPr>
        <w:t>实施建设用地整理项目与产业导入项目</w:t>
      </w:r>
      <w:r>
        <w:rPr>
          <w:rFonts w:ascii="仿宋_GB2312" w:eastAsia="仿宋_GB2312"/>
          <w:sz w:val="32"/>
          <w:szCs w:val="32"/>
        </w:rPr>
        <w:t>37个，涉及整治区域共3.2896万亩，其中开展城乡建设用地增减挂钩项目2个（19080.5753亩），农村集中建房项目4个（407.9702亩），产业导入项目28个（13201.6722亩），其他建设用地整理项目3个（205.6529亩），总投资93.27亿元，其中财政投资（含政府专项债，未含债券利息）63.06亿，收益108.92亿元（申请专项债的项目收益均能覆盖债券本息，偿付保障倍数＞1.2）；社会投资30.21亿元。</w:t>
      </w:r>
    </w:p>
    <w:p>
      <w:pPr>
        <w:ind w:firstLine="640" w:firstLineChars="200"/>
        <w:rPr>
          <w:rFonts w:ascii="仿宋_GB2312" w:eastAsia="仿宋_GB2312"/>
          <w:sz w:val="32"/>
          <w:szCs w:val="32"/>
        </w:rPr>
      </w:pPr>
      <w:r>
        <w:rPr>
          <w:rFonts w:hint="eastAsia" w:ascii="仿宋_GB2312" w:eastAsia="仿宋_GB2312"/>
          <w:sz w:val="32"/>
          <w:szCs w:val="32"/>
        </w:rPr>
        <w:t>预计项目实施后，腾退建设用地</w:t>
      </w:r>
      <w:r>
        <w:rPr>
          <w:rFonts w:ascii="仿宋_GB2312" w:eastAsia="仿宋_GB2312"/>
          <w:sz w:val="32"/>
          <w:szCs w:val="32"/>
        </w:rPr>
        <w:t>10491亩，能有效优化建设用地布局，促进了村庄集中和产业聚集，达到建设用地整治后总量不增加的要求。</w:t>
      </w:r>
    </w:p>
    <w:p>
      <w:pPr>
        <w:ind w:firstLine="640" w:firstLineChars="200"/>
        <w:rPr>
          <w:rFonts w:ascii="仿宋_GB2312" w:eastAsia="仿宋_GB2312"/>
          <w:sz w:val="32"/>
          <w:szCs w:val="32"/>
        </w:rPr>
      </w:pPr>
      <w:r>
        <w:rPr>
          <w:rFonts w:hint="eastAsia" w:ascii="仿宋_GB2312" w:eastAsia="仿宋_GB2312"/>
          <w:sz w:val="32"/>
          <w:szCs w:val="32"/>
        </w:rPr>
        <w:t>计划</w:t>
      </w:r>
      <w:r>
        <w:rPr>
          <w:rFonts w:ascii="仿宋_GB2312" w:eastAsia="仿宋_GB2312"/>
          <w:sz w:val="32"/>
          <w:szCs w:val="32"/>
        </w:rPr>
        <w:t>2024年实施项目2个，总投资0.60亿元，均为社会投资。</w:t>
      </w:r>
    </w:p>
    <w:p>
      <w:pPr>
        <w:ind w:firstLine="643" w:firstLineChars="200"/>
        <w:rPr>
          <w:rFonts w:ascii="仿宋_GB2312" w:eastAsia="仿宋_GB2312"/>
          <w:sz w:val="32"/>
          <w:szCs w:val="32"/>
        </w:rPr>
      </w:pPr>
      <w:r>
        <w:rPr>
          <w:rFonts w:hint="eastAsia" w:ascii="仿宋_GB2312" w:eastAsia="仿宋_GB2312"/>
          <w:b/>
          <w:bCs/>
          <w:sz w:val="32"/>
          <w:szCs w:val="32"/>
        </w:rPr>
        <w:t>营造一方客乡优美生态：</w:t>
      </w:r>
      <w:r>
        <w:rPr>
          <w:rFonts w:hint="eastAsia" w:ascii="仿宋_GB2312" w:eastAsia="仿宋_GB2312"/>
          <w:sz w:val="32"/>
          <w:szCs w:val="32"/>
        </w:rPr>
        <w:t>实施乡村生态保护修复项目</w:t>
      </w:r>
      <w:r>
        <w:rPr>
          <w:rFonts w:ascii="仿宋_GB2312" w:eastAsia="仿宋_GB2312"/>
          <w:sz w:val="32"/>
          <w:szCs w:val="32"/>
        </w:rPr>
        <w:t>21个，涉及整治区域共3238.3144亩，其中历史遗留矿山生态修复项目1个（1641.0630亩），东江及其支流沿岸治理工程及公园建设8个（998.7453亩），风貌提升及历史文化保护项目3个（49.7728亩），基础设施与公共服务设施项目9个（548.7334亩），总投资9.75亿元，其中财政投资9.22亿元，收益3.44亿元；社会投资0.53亿元。项目实施后，统筹山水林田湖草生态治理，腾退建设用地（历史遗留矿山）934亩，建成绿道碧道24.4公里，积极探索绿水青山向金山银山转化</w:t>
      </w:r>
      <w:r>
        <w:rPr>
          <w:rFonts w:hint="eastAsia" w:ascii="仿宋_GB2312" w:eastAsia="仿宋_GB2312"/>
          <w:sz w:val="32"/>
          <w:szCs w:val="32"/>
        </w:rPr>
        <w:t>路径。</w:t>
      </w:r>
    </w:p>
    <w:p>
      <w:pPr>
        <w:ind w:firstLine="640" w:firstLineChars="200"/>
        <w:rPr>
          <w:rFonts w:ascii="仿宋_GB2312" w:eastAsia="仿宋_GB2312"/>
          <w:sz w:val="32"/>
          <w:szCs w:val="32"/>
        </w:rPr>
      </w:pPr>
      <w:r>
        <w:rPr>
          <w:rFonts w:hint="eastAsia" w:ascii="仿宋_GB2312" w:eastAsia="仿宋_GB2312"/>
          <w:sz w:val="32"/>
          <w:szCs w:val="32"/>
        </w:rPr>
        <w:t>计划</w:t>
      </w:r>
      <w:r>
        <w:rPr>
          <w:rFonts w:ascii="仿宋_GB2312" w:eastAsia="仿宋_GB2312"/>
          <w:sz w:val="32"/>
          <w:szCs w:val="32"/>
        </w:rPr>
        <w:t>2024年实施项目1个，总投资0.71亿元，均为财政投资。</w:t>
      </w:r>
    </w:p>
    <w:p>
      <w:pPr>
        <w:rPr>
          <w:rFonts w:ascii="仿宋_GB2312" w:eastAsia="仿宋_GB2312"/>
          <w:b/>
          <w:bCs/>
          <w:sz w:val="32"/>
          <w:szCs w:val="32"/>
        </w:rPr>
      </w:pPr>
      <w:r>
        <w:rPr>
          <w:rFonts w:hint="eastAsia" w:ascii="仿宋_GB2312" w:eastAsia="仿宋_GB2312"/>
          <w:b/>
          <w:bCs/>
          <w:sz w:val="32"/>
          <w:szCs w:val="32"/>
        </w:rPr>
        <w:t>四、公示周期</w:t>
      </w:r>
    </w:p>
    <w:p>
      <w:pPr>
        <w:ind w:firstLine="640" w:firstLineChars="200"/>
        <w:rPr>
          <w:rFonts w:ascii="仿宋_GB2312" w:eastAsia="仿宋_GB2312"/>
          <w:sz w:val="32"/>
          <w:szCs w:val="32"/>
        </w:rPr>
      </w:pPr>
      <w:r>
        <w:rPr>
          <w:rFonts w:ascii="仿宋_GB2312" w:eastAsia="仿宋_GB2312"/>
          <w:sz w:val="32"/>
          <w:szCs w:val="32"/>
        </w:rPr>
        <w:t>2024年6月5日起至2024年6月11日。</w:t>
      </w:r>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方正小标宋简体">
    <w:altName w:val="微软雅黑"/>
    <w:panose1 w:val="02000000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DNlZjFmMDY3MzY0NTM4MTU5MzZmM2VhNzUxNzkzYzcifQ=="/>
  </w:docVars>
  <w:rsids>
    <w:rsidRoot w:val="009836F5"/>
    <w:rsid w:val="000132A4"/>
    <w:rsid w:val="00167FF2"/>
    <w:rsid w:val="002F6942"/>
    <w:rsid w:val="0036399A"/>
    <w:rsid w:val="006D1B62"/>
    <w:rsid w:val="006F073E"/>
    <w:rsid w:val="008450F7"/>
    <w:rsid w:val="008677C4"/>
    <w:rsid w:val="009836F5"/>
    <w:rsid w:val="009A181C"/>
    <w:rsid w:val="00B30AB1"/>
    <w:rsid w:val="00CD3825"/>
    <w:rsid w:val="00DD75D6"/>
    <w:rsid w:val="00E16C28"/>
    <w:rsid w:val="00FC0346"/>
    <w:rsid w:val="00FF7C1A"/>
    <w:rsid w:val="191804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10"/>
    <w:qFormat/>
    <w:uiPriority w:val="9"/>
    <w:pPr>
      <w:keepNext/>
      <w:keepLines/>
      <w:spacing w:before="340" w:after="330" w:line="578" w:lineRule="auto"/>
      <w:ind w:firstLine="200" w:firstLineChars="200"/>
      <w:outlineLvl w:val="0"/>
    </w:pPr>
    <w:rPr>
      <w:rFonts w:ascii="宋体" w:eastAsia="宋体"/>
      <w:b/>
      <w:bCs/>
      <w:kern w:val="44"/>
      <w:sz w:val="44"/>
      <w:szCs w:val="44"/>
    </w:rPr>
  </w:style>
  <w:style w:type="paragraph" w:styleId="3">
    <w:name w:val="heading 2"/>
    <w:basedOn w:val="1"/>
    <w:next w:val="1"/>
    <w:link w:val="13"/>
    <w:semiHidden/>
    <w:unhideWhenUsed/>
    <w:qFormat/>
    <w:uiPriority w:val="9"/>
    <w:pPr>
      <w:keepNext/>
      <w:keepLines/>
      <w:spacing w:before="260" w:after="260" w:line="416" w:lineRule="auto"/>
      <w:ind w:firstLine="200" w:firstLineChars="200"/>
      <w:outlineLvl w:val="1"/>
    </w:pPr>
    <w:rPr>
      <w:rFonts w:asciiTheme="majorHAnsi" w:hAnsiTheme="majorHAnsi" w:eastAsiaTheme="majorEastAsia" w:cstheme="majorBidi"/>
      <w:b/>
      <w:bCs/>
      <w:sz w:val="32"/>
      <w:szCs w:val="32"/>
    </w:rPr>
  </w:style>
  <w:style w:type="character" w:default="1" w:styleId="7">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4">
    <w:name w:val="footer"/>
    <w:basedOn w:val="1"/>
    <w:link w:val="15"/>
    <w:unhideWhenUsed/>
    <w:uiPriority w:val="99"/>
    <w:pPr>
      <w:tabs>
        <w:tab w:val="center" w:pos="4153"/>
        <w:tab w:val="right" w:pos="8306"/>
      </w:tabs>
      <w:snapToGrid w:val="0"/>
      <w:ind w:firstLine="200" w:firstLineChars="200"/>
      <w:jc w:val="left"/>
    </w:pPr>
    <w:rPr>
      <w:rFonts w:ascii="宋体" w:eastAsia="宋体"/>
      <w:sz w:val="18"/>
      <w:szCs w:val="18"/>
    </w:rPr>
  </w:style>
  <w:style w:type="paragraph" w:styleId="5">
    <w:name w:val="header"/>
    <w:basedOn w:val="1"/>
    <w:link w:val="14"/>
    <w:unhideWhenUsed/>
    <w:qFormat/>
    <w:uiPriority w:val="99"/>
    <w:pPr>
      <w:pBdr>
        <w:bottom w:val="single" w:color="auto" w:sz="6" w:space="1"/>
      </w:pBdr>
      <w:tabs>
        <w:tab w:val="center" w:pos="4153"/>
        <w:tab w:val="right" w:pos="8306"/>
      </w:tabs>
      <w:snapToGrid w:val="0"/>
      <w:ind w:firstLine="200" w:firstLineChars="200"/>
      <w:jc w:val="center"/>
    </w:pPr>
    <w:rPr>
      <w:rFonts w:ascii="宋体" w:eastAsia="宋体"/>
      <w:sz w:val="18"/>
      <w:szCs w:val="18"/>
    </w:rPr>
  </w:style>
  <w:style w:type="paragraph" w:customStyle="1" w:styleId="8">
    <w:name w:val="题1"/>
    <w:basedOn w:val="2"/>
    <w:next w:val="1"/>
    <w:link w:val="9"/>
    <w:qFormat/>
    <w:uiPriority w:val="0"/>
    <w:pPr>
      <w:spacing w:before="0" w:after="0" w:line="360" w:lineRule="auto"/>
      <w:ind w:firstLine="0" w:firstLineChars="0"/>
    </w:pPr>
    <w:rPr>
      <w:sz w:val="28"/>
    </w:rPr>
  </w:style>
  <w:style w:type="character" w:customStyle="1" w:styleId="9">
    <w:name w:val="题1 字符"/>
    <w:basedOn w:val="10"/>
    <w:link w:val="8"/>
    <w:uiPriority w:val="0"/>
    <w:rPr>
      <w:rFonts w:ascii="宋体" w:eastAsia="宋体"/>
      <w:kern w:val="44"/>
      <w:sz w:val="28"/>
      <w:szCs w:val="44"/>
    </w:rPr>
  </w:style>
  <w:style w:type="character" w:customStyle="1" w:styleId="10">
    <w:name w:val="标题 1 字符"/>
    <w:basedOn w:val="7"/>
    <w:link w:val="2"/>
    <w:uiPriority w:val="9"/>
    <w:rPr>
      <w:rFonts w:ascii="宋体" w:eastAsia="宋体"/>
      <w:b/>
      <w:bCs/>
      <w:kern w:val="44"/>
      <w:sz w:val="44"/>
      <w:szCs w:val="44"/>
    </w:rPr>
  </w:style>
  <w:style w:type="paragraph" w:customStyle="1" w:styleId="11">
    <w:name w:val="题2"/>
    <w:basedOn w:val="3"/>
    <w:next w:val="1"/>
    <w:link w:val="12"/>
    <w:qFormat/>
    <w:uiPriority w:val="0"/>
    <w:pPr>
      <w:spacing w:before="0" w:after="0" w:line="360" w:lineRule="auto"/>
      <w:ind w:firstLine="0" w:firstLineChars="0"/>
    </w:pPr>
    <w:rPr>
      <w:rFonts w:ascii="宋体" w:eastAsia="宋体"/>
      <w:sz w:val="24"/>
    </w:rPr>
  </w:style>
  <w:style w:type="character" w:customStyle="1" w:styleId="12">
    <w:name w:val="题2 字符"/>
    <w:basedOn w:val="13"/>
    <w:link w:val="11"/>
    <w:uiPriority w:val="0"/>
    <w:rPr>
      <w:rFonts w:ascii="宋体" w:eastAsia="宋体" w:hAnsiTheme="majorHAnsi" w:cstheme="majorBidi"/>
      <w:sz w:val="24"/>
      <w:szCs w:val="32"/>
    </w:rPr>
  </w:style>
  <w:style w:type="character" w:customStyle="1" w:styleId="13">
    <w:name w:val="标题 2 字符"/>
    <w:basedOn w:val="7"/>
    <w:link w:val="3"/>
    <w:semiHidden/>
    <w:uiPriority w:val="9"/>
    <w:rPr>
      <w:rFonts w:asciiTheme="majorHAnsi" w:hAnsiTheme="majorHAnsi" w:eastAsiaTheme="majorEastAsia" w:cstheme="majorBidi"/>
      <w:b/>
      <w:bCs/>
      <w:sz w:val="32"/>
      <w:szCs w:val="32"/>
    </w:rPr>
  </w:style>
  <w:style w:type="character" w:customStyle="1" w:styleId="14">
    <w:name w:val="页眉 字符"/>
    <w:basedOn w:val="7"/>
    <w:link w:val="5"/>
    <w:uiPriority w:val="99"/>
    <w:rPr>
      <w:rFonts w:ascii="宋体" w:eastAsia="宋体"/>
      <w:sz w:val="18"/>
      <w:szCs w:val="18"/>
    </w:rPr>
  </w:style>
  <w:style w:type="character" w:customStyle="1" w:styleId="15">
    <w:name w:val="页脚 字符"/>
    <w:basedOn w:val="7"/>
    <w:link w:val="4"/>
    <w:uiPriority w:val="99"/>
    <w:rPr>
      <w:rFonts w:ascii="宋体" w:eastAsia="宋体"/>
      <w:sz w:val="18"/>
      <w:szCs w:val="1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1567</Words>
  <Characters>1846</Characters>
  <Lines>13</Lines>
  <Paragraphs>3</Paragraphs>
  <TotalTime>1</TotalTime>
  <ScaleCrop>false</ScaleCrop>
  <LinksUpToDate>false</LinksUpToDate>
  <CharactersWithSpaces>1850</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2024-06-04T09:12:00Z</dcterms:created>
  <dc:creator>bin luo</dc:creator>
  <cp:lastModifiedBy>Administrator</cp:lastModifiedBy>
  <dcterms:modified xsi:type="dcterms:W3CDTF">2024-06-18T01:37:56Z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F0968F67DD6E4B3D83F7E3A004A6C877_12</vt:lpwstr>
  </property>
</Properties>
</file>