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4755FF">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auto"/>
        <w:rPr>
          <w:rFonts w:hint="eastAsia" w:ascii="宋体" w:hAnsi="宋体" w:eastAsia="方正小标宋_GBK" w:cs="方正小标宋_GBK"/>
          <w:sz w:val="44"/>
          <w:szCs w:val="44"/>
        </w:rPr>
      </w:pPr>
      <w:r>
        <w:rPr>
          <w:rFonts w:hint="eastAsia" w:ascii="宋体" w:hAnsi="宋体" w:eastAsia="方正小标宋_GBK" w:cs="方正小标宋_GBK"/>
          <w:sz w:val="44"/>
          <w:szCs w:val="44"/>
        </w:rPr>
        <w:t>东源县交通运输局安全生产约谈和挂牌督办</w:t>
      </w:r>
    </w:p>
    <w:p w14:paraId="582065A6">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auto"/>
        <w:rPr>
          <w:rFonts w:hint="eastAsia" w:ascii="宋体" w:hAnsi="宋体" w:eastAsia="方正小标宋_GBK" w:cs="方正仿宋_GBK"/>
          <w:sz w:val="32"/>
          <w:szCs w:val="32"/>
          <w:lang w:eastAsia="zh-CN"/>
        </w:rPr>
      </w:pPr>
      <w:r>
        <w:rPr>
          <w:rFonts w:hint="eastAsia" w:ascii="宋体" w:hAnsi="宋体" w:eastAsia="方正小标宋_GBK" w:cs="方正小标宋_GBK"/>
          <w:sz w:val="44"/>
          <w:szCs w:val="44"/>
        </w:rPr>
        <w:t>办法（试行）</w:t>
      </w:r>
      <w:r>
        <w:rPr>
          <w:rFonts w:hint="eastAsia" w:ascii="宋体" w:hAnsi="宋体" w:eastAsia="方正小标宋_GBK" w:cs="方正小标宋_GBK"/>
          <w:sz w:val="44"/>
          <w:szCs w:val="44"/>
          <w:lang w:eastAsia="zh-CN"/>
        </w:rPr>
        <w:t>（征求意见稿）</w:t>
      </w:r>
    </w:p>
    <w:p w14:paraId="12C7AD8B">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黑体_GBK" w:cs="方正黑体_GBK"/>
          <w:sz w:val="32"/>
          <w:szCs w:val="32"/>
        </w:rPr>
      </w:pPr>
    </w:p>
    <w:p w14:paraId="4F66FAD2">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auto"/>
        <w:rPr>
          <w:rFonts w:hint="default" w:ascii="宋体" w:hAnsi="宋体" w:eastAsia="方正黑体_GBK" w:cs="方正黑体_GBK"/>
          <w:sz w:val="32"/>
          <w:szCs w:val="32"/>
          <w:lang w:val="en-US" w:eastAsia="zh-CN"/>
        </w:rPr>
      </w:pPr>
      <w:r>
        <w:rPr>
          <w:rFonts w:hint="eastAsia" w:ascii="宋体" w:hAnsi="宋体" w:eastAsia="方正黑体_GBK" w:cs="方正黑体_GBK"/>
          <w:sz w:val="32"/>
          <w:szCs w:val="32"/>
          <w:lang w:eastAsia="zh-CN"/>
        </w:rPr>
        <w:t>第一章</w:t>
      </w:r>
      <w:r>
        <w:rPr>
          <w:rFonts w:hint="eastAsia" w:ascii="宋体" w:hAnsi="宋体" w:eastAsia="方正黑体_GBK" w:cs="方正黑体_GBK"/>
          <w:sz w:val="32"/>
          <w:szCs w:val="32"/>
          <w:lang w:val="en-US" w:eastAsia="zh-CN"/>
        </w:rPr>
        <w:t xml:space="preserve"> 总 则</w:t>
      </w:r>
    </w:p>
    <w:p w14:paraId="148033FC">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b/>
          <w:bCs/>
          <w:sz w:val="32"/>
          <w:szCs w:val="32"/>
          <w:lang w:eastAsia="zh-CN"/>
        </w:rPr>
        <w:t>第一条</w:t>
      </w:r>
      <w:r>
        <w:rPr>
          <w:rFonts w:hint="eastAsia" w:ascii="宋体" w:hAnsi="宋体" w:eastAsia="方正仿宋_GBK" w:cs="方正仿宋_GBK"/>
          <w:sz w:val="32"/>
          <w:szCs w:val="32"/>
          <w:lang w:eastAsia="zh-CN"/>
        </w:rPr>
        <w:t xml:space="preserve"> 为强化我县交通运输安全生产监管工作，进一步落实安全生产责任制，防范和减少生产安全事故，根据《中华人民共和国安全生产法》《广东省安全生产条例》等法律法规以及《交通运输部关于印发&lt;交通运输安全生产警示约谈和挂牌督办办法&gt;的通知》（交安监规〔2023〕6号）、《广东省重大生产安全事故隐患治理挂牌督办办法》（粤安〔2020〕6号）、《广东省交通运输厅安全生产约谈办法》（粤交〔2023〕8号）、《河源市交通运输局安全生产约谈和挂牌督办办法（试行）》（河交函〔202</w:t>
      </w:r>
      <w:r>
        <w:rPr>
          <w:rFonts w:hint="eastAsia" w:ascii="宋体" w:hAnsi="宋体" w:eastAsia="方正仿宋_GBK" w:cs="方正仿宋_GBK"/>
          <w:sz w:val="32"/>
          <w:szCs w:val="32"/>
          <w:lang w:val="en-US" w:eastAsia="zh-CN"/>
        </w:rPr>
        <w:t>4</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lang w:val="en-US" w:eastAsia="zh-CN"/>
        </w:rPr>
        <w:t>250</w:t>
      </w:r>
      <w:r>
        <w:rPr>
          <w:rFonts w:hint="eastAsia" w:ascii="宋体" w:hAnsi="宋体" w:eastAsia="方正仿宋_GBK" w:cs="方正仿宋_GBK"/>
          <w:sz w:val="32"/>
          <w:szCs w:val="32"/>
          <w:lang w:eastAsia="zh-CN"/>
        </w:rPr>
        <w:t>号）等文件规定，结合我县交通运输行业实际，制定本办法。</w:t>
      </w:r>
    </w:p>
    <w:p w14:paraId="437F9F40">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b/>
          <w:bCs/>
          <w:sz w:val="32"/>
          <w:szCs w:val="32"/>
        </w:rPr>
        <w:t>第二条</w:t>
      </w:r>
      <w:r>
        <w:rPr>
          <w:rFonts w:hint="eastAsia" w:ascii="宋体" w:hAnsi="宋体" w:eastAsia="方正仿宋_GBK" w:cs="方正仿宋_GBK"/>
          <w:sz w:val="32"/>
          <w:szCs w:val="32"/>
        </w:rPr>
        <w:t xml:space="preserve"> 本办法适用于</w:t>
      </w:r>
      <w:r>
        <w:rPr>
          <w:rFonts w:hint="eastAsia" w:ascii="宋体" w:hAnsi="宋体" w:eastAsia="方正仿宋_GBK" w:cs="方正仿宋_GBK"/>
          <w:sz w:val="32"/>
          <w:szCs w:val="32"/>
          <w:lang w:eastAsia="zh-CN"/>
        </w:rPr>
        <w:t>东源县</w:t>
      </w:r>
      <w:r>
        <w:rPr>
          <w:rFonts w:hint="eastAsia" w:ascii="宋体" w:hAnsi="宋体" w:eastAsia="方正仿宋_GBK" w:cs="方正仿宋_GBK"/>
          <w:sz w:val="32"/>
          <w:szCs w:val="32"/>
        </w:rPr>
        <w:t>公路、水路运输或工程的安全生产约谈和挂牌督办工作。法律、法规、规章及上级规范性文件另有规定的从其规定。</w:t>
      </w:r>
    </w:p>
    <w:p w14:paraId="4FB23CB9">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本办法所称约谈，是指交通运输主管部门（以下统称约谈单位）对交通运输安全生产管理不力的</w:t>
      </w:r>
      <w:r>
        <w:rPr>
          <w:rFonts w:hint="eastAsia" w:ascii="宋体" w:hAnsi="宋体" w:eastAsia="方正仿宋_GBK" w:cs="方正仿宋_GBK"/>
          <w:sz w:val="32"/>
          <w:szCs w:val="32"/>
          <w:lang w:eastAsia="zh-CN"/>
        </w:rPr>
        <w:t>下属单位</w:t>
      </w:r>
      <w:r>
        <w:rPr>
          <w:rFonts w:hint="eastAsia" w:ascii="宋体" w:hAnsi="宋体" w:eastAsia="方正仿宋_GBK" w:cs="方正仿宋_GBK"/>
          <w:sz w:val="32"/>
          <w:szCs w:val="32"/>
        </w:rPr>
        <w:t>有关负责人或交通运输生产经营单位主要负责人（以下统称被约谈单位），进行安全生产督促整改的谈话。</w:t>
      </w:r>
    </w:p>
    <w:p w14:paraId="776EFE3A">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本办法所称挂牌督办，是指交通运输主管部门（以下统称挂牌督办单位）督促下属单位或交通运输生产经营单位（以下统称被挂牌督办单位）履行安全生产职责，对存在的安全生产风险或隐患进行管控或整改的行为。</w:t>
      </w:r>
    </w:p>
    <w:p w14:paraId="5296E48A">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b/>
          <w:bCs/>
          <w:sz w:val="32"/>
          <w:szCs w:val="32"/>
        </w:rPr>
        <w:t>第三条</w:t>
      </w:r>
      <w:r>
        <w:rPr>
          <w:rFonts w:hint="eastAsia" w:ascii="宋体" w:hAnsi="宋体" w:eastAsia="方正仿宋_GBK" w:cs="方正仿宋_GBK"/>
          <w:sz w:val="32"/>
          <w:szCs w:val="32"/>
        </w:rPr>
        <w:t xml:space="preserve"> </w:t>
      </w:r>
      <w:r>
        <w:rPr>
          <w:rFonts w:hint="eastAsia" w:ascii="宋体" w:hAnsi="宋体" w:eastAsia="方正仿宋_GBK" w:cs="方正仿宋_GBK"/>
          <w:sz w:val="32"/>
          <w:szCs w:val="32"/>
          <w:lang w:eastAsia="zh-CN"/>
        </w:rPr>
        <w:t>东源县</w:t>
      </w:r>
      <w:r>
        <w:rPr>
          <w:rFonts w:hint="eastAsia" w:ascii="宋体" w:hAnsi="宋体" w:eastAsia="方正仿宋_GBK" w:cs="方正仿宋_GBK"/>
          <w:sz w:val="32"/>
          <w:szCs w:val="32"/>
        </w:rPr>
        <w:t>交通运输局指导全</w:t>
      </w:r>
      <w:r>
        <w:rPr>
          <w:rFonts w:hint="eastAsia" w:ascii="宋体" w:hAnsi="宋体" w:eastAsia="方正仿宋_GBK" w:cs="方正仿宋_GBK"/>
          <w:sz w:val="32"/>
          <w:szCs w:val="32"/>
          <w:lang w:eastAsia="zh-CN"/>
        </w:rPr>
        <w:t>县</w:t>
      </w:r>
      <w:r>
        <w:rPr>
          <w:rFonts w:hint="eastAsia" w:ascii="宋体" w:hAnsi="宋体" w:eastAsia="方正仿宋_GBK" w:cs="方正仿宋_GBK"/>
          <w:sz w:val="32"/>
          <w:szCs w:val="32"/>
        </w:rPr>
        <w:t>交通运输行业安全生产约谈和挂牌督办工作。其他具有交通运输安全监管职能的单位，根据职责分工和管理权限，负责管辖范围内的交通运输安全生产约谈和挂牌督办工作。</w:t>
      </w:r>
    </w:p>
    <w:p w14:paraId="0E06E843">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b/>
          <w:bCs/>
          <w:sz w:val="32"/>
          <w:szCs w:val="32"/>
        </w:rPr>
        <w:t>第四条</w:t>
      </w:r>
      <w:r>
        <w:rPr>
          <w:rFonts w:hint="eastAsia" w:ascii="宋体" w:hAnsi="宋体" w:eastAsia="方正仿宋_GBK" w:cs="方正仿宋_GBK"/>
          <w:sz w:val="32"/>
          <w:szCs w:val="32"/>
        </w:rPr>
        <w:t xml:space="preserve"> </w:t>
      </w:r>
      <w:r>
        <w:rPr>
          <w:rFonts w:hint="eastAsia" w:ascii="宋体" w:hAnsi="宋体" w:eastAsia="方正仿宋_GBK" w:cs="方正仿宋_GBK"/>
          <w:sz w:val="32"/>
          <w:szCs w:val="32"/>
          <w:lang w:eastAsia="zh-CN"/>
        </w:rPr>
        <w:t>东源县</w:t>
      </w:r>
      <w:r>
        <w:rPr>
          <w:rFonts w:hint="eastAsia" w:ascii="宋体" w:hAnsi="宋体" w:eastAsia="方正仿宋_GBK" w:cs="方正仿宋_GBK"/>
          <w:sz w:val="32"/>
          <w:szCs w:val="32"/>
        </w:rPr>
        <w:t>交通运输安全生产约谈和挂牌督办工作遵循依法依规、分级负责、属地管理、注重实效的原则。</w:t>
      </w:r>
    </w:p>
    <w:p w14:paraId="0A7CABDF">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b/>
          <w:bCs/>
          <w:sz w:val="32"/>
          <w:szCs w:val="32"/>
        </w:rPr>
        <w:t>第五条</w:t>
      </w:r>
      <w:r>
        <w:rPr>
          <w:rFonts w:hint="eastAsia" w:ascii="宋体" w:hAnsi="宋体" w:eastAsia="方正仿宋_GBK" w:cs="方正仿宋_GBK"/>
          <w:sz w:val="32"/>
          <w:szCs w:val="32"/>
        </w:rPr>
        <w:t xml:space="preserve"> </w:t>
      </w:r>
      <w:r>
        <w:rPr>
          <w:rFonts w:hint="eastAsia" w:ascii="宋体" w:hAnsi="宋体" w:eastAsia="方正仿宋_GBK" w:cs="方正仿宋_GBK"/>
          <w:sz w:val="32"/>
          <w:szCs w:val="32"/>
          <w:lang w:eastAsia="zh-CN"/>
        </w:rPr>
        <w:t>东源县</w:t>
      </w:r>
      <w:r>
        <w:rPr>
          <w:rFonts w:hint="eastAsia" w:ascii="宋体" w:hAnsi="宋体" w:eastAsia="方正仿宋_GBK" w:cs="方正仿宋_GBK"/>
          <w:sz w:val="32"/>
          <w:szCs w:val="32"/>
        </w:rPr>
        <w:t>交通运输安全生产约谈和挂牌督办</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不替代或减轻政务处分、行政处罚、刑事处罚等责任追究</w:t>
      </w:r>
      <w:r>
        <w:rPr>
          <w:rFonts w:hint="eastAsia" w:ascii="宋体" w:hAnsi="宋体" w:eastAsia="方正仿宋_GBK" w:cs="方正仿宋_GBK"/>
          <w:sz w:val="32"/>
          <w:szCs w:val="32"/>
          <w:lang w:eastAsia="zh-CN"/>
        </w:rPr>
        <w:t>。</w:t>
      </w:r>
    </w:p>
    <w:p w14:paraId="248EF204">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rPr>
      </w:pPr>
    </w:p>
    <w:p w14:paraId="10FA360C">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第二章</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rPr>
        <w:t>约</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rPr>
        <w:t>谈</w:t>
      </w:r>
    </w:p>
    <w:p w14:paraId="112D78F3">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b/>
          <w:bCs/>
          <w:sz w:val="32"/>
          <w:szCs w:val="32"/>
        </w:rPr>
        <w:t>第六条</w:t>
      </w:r>
      <w:r>
        <w:rPr>
          <w:rFonts w:hint="eastAsia" w:ascii="宋体" w:hAnsi="宋体" w:eastAsia="方正仿宋_GBK" w:cs="方正仿宋_GBK"/>
          <w:sz w:val="32"/>
          <w:szCs w:val="32"/>
        </w:rPr>
        <w:t xml:space="preserve"> 出现下列情况之一时，</w:t>
      </w:r>
      <w:r>
        <w:rPr>
          <w:rFonts w:hint="eastAsia" w:ascii="宋体" w:hAnsi="宋体" w:eastAsia="方正仿宋_GBK" w:cs="方正仿宋_GBK"/>
          <w:sz w:val="32"/>
          <w:szCs w:val="32"/>
          <w:lang w:eastAsia="zh-CN"/>
        </w:rPr>
        <w:t>县</w:t>
      </w:r>
      <w:r>
        <w:rPr>
          <w:rFonts w:hint="eastAsia" w:ascii="宋体" w:hAnsi="宋体" w:eastAsia="方正仿宋_GBK" w:cs="方正仿宋_GBK"/>
          <w:sz w:val="32"/>
          <w:szCs w:val="32"/>
        </w:rPr>
        <w:t>交通运输局安全生产委员会（简称：</w:t>
      </w:r>
      <w:r>
        <w:rPr>
          <w:rFonts w:hint="eastAsia" w:ascii="宋体" w:hAnsi="宋体" w:eastAsia="方正仿宋_GBK" w:cs="方正仿宋_GBK"/>
          <w:sz w:val="32"/>
          <w:szCs w:val="32"/>
          <w:lang w:eastAsia="zh-CN"/>
        </w:rPr>
        <w:t>县</w:t>
      </w:r>
      <w:r>
        <w:rPr>
          <w:rFonts w:hint="eastAsia" w:ascii="宋体" w:hAnsi="宋体" w:eastAsia="方正仿宋_GBK" w:cs="方正仿宋_GBK"/>
          <w:sz w:val="32"/>
          <w:szCs w:val="32"/>
        </w:rPr>
        <w:t>局安委会）负责人约谈生产经营单位主要负责人：</w:t>
      </w:r>
    </w:p>
    <w:p w14:paraId="1055787E">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（一）发生</w:t>
      </w:r>
      <w:r>
        <w:rPr>
          <w:rFonts w:hint="eastAsia" w:ascii="宋体" w:hAnsi="宋体" w:eastAsia="方正仿宋_GBK" w:cs="方正仿宋_GBK"/>
          <w:sz w:val="32"/>
          <w:szCs w:val="32"/>
          <w:lang w:val="en-US" w:eastAsia="zh-CN"/>
        </w:rPr>
        <w:t>1起以上（含）较大</w:t>
      </w:r>
      <w:r>
        <w:rPr>
          <w:rFonts w:hint="eastAsia" w:ascii="宋体" w:hAnsi="宋体" w:eastAsia="方正仿宋_GBK" w:cs="方正仿宋_GBK"/>
          <w:sz w:val="32"/>
          <w:szCs w:val="32"/>
        </w:rPr>
        <w:t>生产安全事故</w:t>
      </w:r>
      <w:r>
        <w:rPr>
          <w:rFonts w:hint="eastAsia" w:ascii="宋体" w:hAnsi="宋体" w:eastAsia="方正仿宋_GBK" w:cs="方正仿宋_GBK"/>
          <w:sz w:val="32"/>
          <w:szCs w:val="32"/>
          <w:lang w:eastAsia="zh-CN"/>
        </w:rPr>
        <w:t>，性质严重、社会影响恶劣的</w:t>
      </w:r>
      <w:r>
        <w:rPr>
          <w:rFonts w:hint="eastAsia" w:ascii="宋体" w:hAnsi="宋体" w:eastAsia="方正仿宋_GBK" w:cs="方正仿宋_GBK"/>
          <w:sz w:val="32"/>
          <w:szCs w:val="32"/>
        </w:rPr>
        <w:t>；</w:t>
      </w:r>
    </w:p>
    <w:p w14:paraId="2C414CC4">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eastAsia="zh-CN"/>
        </w:rPr>
        <w:t>二</w:t>
      </w:r>
      <w:r>
        <w:rPr>
          <w:rFonts w:hint="eastAsia" w:ascii="宋体" w:hAnsi="宋体" w:eastAsia="方正仿宋_GBK" w:cs="方正仿宋_GBK"/>
          <w:sz w:val="32"/>
          <w:szCs w:val="32"/>
        </w:rPr>
        <w:t>）落实安全生产工作重大决策部署和监管措施不力造成严重影响或后果的；</w:t>
      </w:r>
    </w:p>
    <w:p w14:paraId="36774879">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eastAsia="zh-CN"/>
        </w:rPr>
        <w:t>三</w:t>
      </w:r>
      <w:r>
        <w:rPr>
          <w:rFonts w:hint="eastAsia" w:ascii="宋体" w:hAnsi="宋体" w:eastAsia="方正仿宋_GBK" w:cs="方正仿宋_GBK"/>
          <w:sz w:val="32"/>
          <w:szCs w:val="32"/>
        </w:rPr>
        <w:t>）生产安全事故应急处置不力，致使事故危害扩大，死亡人数达到较大生产安全事故等级的；</w:t>
      </w:r>
    </w:p>
    <w:p w14:paraId="7C51A298">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eastAsia="zh-CN"/>
        </w:rPr>
        <w:t>四</w:t>
      </w:r>
      <w:r>
        <w:rPr>
          <w:rFonts w:hint="eastAsia" w:ascii="宋体" w:hAnsi="宋体" w:eastAsia="方正仿宋_GBK" w:cs="方正仿宋_GBK"/>
          <w:sz w:val="32"/>
          <w:szCs w:val="32"/>
        </w:rPr>
        <w:t>）发生安全生产事故，存在谎报或瞒报的，或存在迟报、漏报且造成严重后果的；</w:t>
      </w:r>
    </w:p>
    <w:p w14:paraId="160F306D">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eastAsia="zh-CN"/>
        </w:rPr>
        <w:t>五</w:t>
      </w:r>
      <w:r>
        <w:rPr>
          <w:rFonts w:hint="eastAsia" w:ascii="宋体" w:hAnsi="宋体" w:eastAsia="方正仿宋_GBK" w:cs="方正仿宋_GBK"/>
          <w:sz w:val="32"/>
          <w:szCs w:val="32"/>
        </w:rPr>
        <w:t>）市政府</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市交通运输局</w:t>
      </w:r>
      <w:r>
        <w:rPr>
          <w:rFonts w:hint="eastAsia" w:ascii="宋体" w:hAnsi="宋体" w:eastAsia="方正仿宋_GBK" w:cs="方正仿宋_GBK"/>
          <w:sz w:val="32"/>
          <w:szCs w:val="32"/>
          <w:lang w:eastAsia="zh-CN"/>
        </w:rPr>
        <w:t>、县政府及县交通运输局</w:t>
      </w:r>
      <w:r>
        <w:rPr>
          <w:rFonts w:hint="eastAsia" w:ascii="宋体" w:hAnsi="宋体" w:eastAsia="方正仿宋_GBK" w:cs="方正仿宋_GBK"/>
          <w:sz w:val="32"/>
          <w:szCs w:val="32"/>
        </w:rPr>
        <w:t>挂牌督办的生产安全事故、隐患未按要求完成调查的，或未落实责任追究、防范和整改措施的；</w:t>
      </w:r>
    </w:p>
    <w:p w14:paraId="0AEF5953">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eastAsia="zh-CN"/>
        </w:rPr>
        <w:t>六</w:t>
      </w:r>
      <w:r>
        <w:rPr>
          <w:rFonts w:hint="eastAsia" w:ascii="宋体" w:hAnsi="宋体" w:eastAsia="方正仿宋_GBK" w:cs="方正仿宋_GBK"/>
          <w:sz w:val="32"/>
          <w:szCs w:val="32"/>
        </w:rPr>
        <w:t>）</w:t>
      </w:r>
      <w:r>
        <w:rPr>
          <w:rFonts w:hint="eastAsia" w:ascii="宋体" w:hAnsi="宋体" w:eastAsia="方正仿宋_GBK" w:cs="方正仿宋_GBK"/>
          <w:sz w:val="32"/>
          <w:szCs w:val="32"/>
          <w:lang w:eastAsia="zh-CN"/>
        </w:rPr>
        <w:t>县</w:t>
      </w:r>
      <w:r>
        <w:rPr>
          <w:rFonts w:hint="eastAsia" w:ascii="宋体" w:hAnsi="宋体" w:eastAsia="方正仿宋_GBK" w:cs="方正仿宋_GBK"/>
          <w:sz w:val="32"/>
          <w:szCs w:val="32"/>
        </w:rPr>
        <w:t>委、</w:t>
      </w:r>
      <w:r>
        <w:rPr>
          <w:rFonts w:hint="eastAsia" w:ascii="宋体" w:hAnsi="宋体" w:eastAsia="方正仿宋_GBK" w:cs="方正仿宋_GBK"/>
          <w:sz w:val="32"/>
          <w:szCs w:val="32"/>
          <w:lang w:eastAsia="zh-CN"/>
        </w:rPr>
        <w:t>县</w:t>
      </w:r>
      <w:r>
        <w:rPr>
          <w:rFonts w:hint="eastAsia" w:ascii="宋体" w:hAnsi="宋体" w:eastAsia="方正仿宋_GBK" w:cs="方正仿宋_GBK"/>
          <w:sz w:val="32"/>
          <w:szCs w:val="32"/>
        </w:rPr>
        <w:t>政府、</w:t>
      </w:r>
      <w:r>
        <w:rPr>
          <w:rFonts w:hint="eastAsia" w:ascii="宋体" w:hAnsi="宋体" w:eastAsia="方正仿宋_GBK" w:cs="方正仿宋_GBK"/>
          <w:sz w:val="32"/>
          <w:szCs w:val="32"/>
          <w:lang w:eastAsia="zh-CN"/>
        </w:rPr>
        <w:t>市交通运输局</w:t>
      </w:r>
      <w:r>
        <w:rPr>
          <w:rFonts w:hint="eastAsia" w:ascii="宋体" w:hAnsi="宋体" w:eastAsia="方正仿宋_GBK" w:cs="方正仿宋_GBK"/>
          <w:sz w:val="32"/>
          <w:szCs w:val="32"/>
        </w:rPr>
        <w:t>及其安全生产委员会办公室（简称：安委办）指定由</w:t>
      </w:r>
      <w:r>
        <w:rPr>
          <w:rFonts w:hint="eastAsia" w:ascii="宋体" w:hAnsi="宋体" w:eastAsia="方正仿宋_GBK" w:cs="方正仿宋_GBK"/>
          <w:sz w:val="32"/>
          <w:szCs w:val="32"/>
          <w:lang w:eastAsia="zh-CN"/>
        </w:rPr>
        <w:t>县</w:t>
      </w:r>
      <w:r>
        <w:rPr>
          <w:rFonts w:hint="eastAsia" w:ascii="宋体" w:hAnsi="宋体" w:eastAsia="方正仿宋_GBK" w:cs="方正仿宋_GBK"/>
          <w:sz w:val="32"/>
          <w:szCs w:val="32"/>
        </w:rPr>
        <w:t>局或局安委会牵头开展约谈的；</w:t>
      </w:r>
    </w:p>
    <w:p w14:paraId="0128CB5C">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eastAsia="zh-CN"/>
        </w:rPr>
        <w:t>七</w:t>
      </w:r>
      <w:r>
        <w:rPr>
          <w:rFonts w:hint="eastAsia" w:ascii="宋体" w:hAnsi="宋体" w:eastAsia="方正仿宋_GBK" w:cs="方正仿宋_GBK"/>
          <w:sz w:val="32"/>
          <w:szCs w:val="32"/>
        </w:rPr>
        <w:t>）</w:t>
      </w:r>
      <w:r>
        <w:rPr>
          <w:rFonts w:hint="eastAsia" w:ascii="宋体" w:hAnsi="宋体" w:eastAsia="方正仿宋_GBK" w:cs="方正仿宋_GBK"/>
          <w:sz w:val="32"/>
          <w:szCs w:val="32"/>
          <w:lang w:eastAsia="zh-CN"/>
        </w:rPr>
        <w:t>县交通运输</w:t>
      </w:r>
      <w:r>
        <w:rPr>
          <w:rFonts w:hint="eastAsia" w:ascii="宋体" w:hAnsi="宋体" w:eastAsia="方正仿宋_GBK" w:cs="方正仿宋_GBK"/>
          <w:sz w:val="32"/>
          <w:szCs w:val="32"/>
        </w:rPr>
        <w:t>局安全生产委员会（简称</w:t>
      </w:r>
      <w:r>
        <w:rPr>
          <w:rFonts w:hint="eastAsia" w:ascii="宋体" w:hAnsi="宋体" w:eastAsia="方正仿宋_GBK" w:cs="方正仿宋_GBK"/>
          <w:sz w:val="32"/>
          <w:szCs w:val="32"/>
          <w:lang w:eastAsia="zh-CN"/>
        </w:rPr>
        <w:t>县</w:t>
      </w:r>
      <w:r>
        <w:rPr>
          <w:rFonts w:hint="eastAsia" w:ascii="宋体" w:hAnsi="宋体" w:eastAsia="方正仿宋_GBK" w:cs="方正仿宋_GBK"/>
          <w:sz w:val="32"/>
          <w:szCs w:val="32"/>
        </w:rPr>
        <w:t>局安委会）、安全生产委员会办公室（简称</w:t>
      </w:r>
      <w:r>
        <w:rPr>
          <w:rFonts w:hint="eastAsia" w:ascii="宋体" w:hAnsi="宋体" w:eastAsia="方正仿宋_GBK" w:cs="方正仿宋_GBK"/>
          <w:sz w:val="32"/>
          <w:szCs w:val="32"/>
          <w:lang w:eastAsia="zh-CN"/>
        </w:rPr>
        <w:t>县</w:t>
      </w:r>
      <w:r>
        <w:rPr>
          <w:rFonts w:hint="eastAsia" w:ascii="宋体" w:hAnsi="宋体" w:eastAsia="方正仿宋_GBK" w:cs="方正仿宋_GBK"/>
          <w:sz w:val="32"/>
          <w:szCs w:val="32"/>
        </w:rPr>
        <w:t>局安委办）认为须开展约谈的其他情形。</w:t>
      </w:r>
    </w:p>
    <w:p w14:paraId="0FE71369">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b/>
          <w:bCs/>
          <w:sz w:val="32"/>
          <w:szCs w:val="32"/>
        </w:rPr>
        <w:t>第七条</w:t>
      </w:r>
      <w:r>
        <w:rPr>
          <w:rFonts w:hint="eastAsia" w:ascii="宋体" w:hAnsi="宋体" w:eastAsia="方正仿宋_GBK" w:cs="方正仿宋_GBK"/>
          <w:sz w:val="32"/>
          <w:szCs w:val="32"/>
        </w:rPr>
        <w:t xml:space="preserve"> 出现下列情况之一时，</w:t>
      </w:r>
      <w:r>
        <w:rPr>
          <w:rFonts w:hint="eastAsia" w:ascii="宋体" w:hAnsi="宋体" w:eastAsia="方正仿宋_GBK" w:cs="方正仿宋_GBK"/>
          <w:sz w:val="32"/>
          <w:szCs w:val="32"/>
          <w:lang w:eastAsia="zh-CN"/>
        </w:rPr>
        <w:t>县</w:t>
      </w:r>
      <w:r>
        <w:rPr>
          <w:rFonts w:hint="eastAsia" w:ascii="宋体" w:hAnsi="宋体" w:eastAsia="方正仿宋_GBK" w:cs="方正仿宋_GBK"/>
          <w:sz w:val="32"/>
          <w:szCs w:val="32"/>
        </w:rPr>
        <w:t>交通运输局安委会成员单位（相关业务</w:t>
      </w:r>
      <w:r>
        <w:rPr>
          <w:rFonts w:hint="eastAsia" w:ascii="宋体" w:hAnsi="宋体" w:eastAsia="方正仿宋_GBK" w:cs="方正仿宋_GBK"/>
          <w:sz w:val="32"/>
          <w:szCs w:val="32"/>
          <w:lang w:eastAsia="zh-CN"/>
        </w:rPr>
        <w:t>股</w:t>
      </w:r>
      <w:r>
        <w:rPr>
          <w:rFonts w:hint="eastAsia" w:ascii="宋体" w:hAnsi="宋体" w:eastAsia="方正仿宋_GBK" w:cs="方正仿宋_GBK"/>
          <w:sz w:val="32"/>
          <w:szCs w:val="32"/>
        </w:rPr>
        <w:t>室）根据职责单独或共同约谈生产经营单位主要负责人或分管安全生产工作的负责人：</w:t>
      </w:r>
    </w:p>
    <w:p w14:paraId="36C2A3E4">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（一）发生</w:t>
      </w:r>
      <w:r>
        <w:rPr>
          <w:rFonts w:hint="eastAsia" w:ascii="宋体" w:hAnsi="宋体" w:eastAsia="方正仿宋_GBK" w:cs="方正仿宋_GBK"/>
          <w:sz w:val="32"/>
          <w:szCs w:val="32"/>
          <w:lang w:val="en-US" w:eastAsia="zh-CN"/>
        </w:rPr>
        <w:t>1</w:t>
      </w:r>
      <w:r>
        <w:rPr>
          <w:rFonts w:hint="eastAsia" w:ascii="宋体" w:hAnsi="宋体" w:eastAsia="方正仿宋_GBK" w:cs="方正仿宋_GBK"/>
          <w:sz w:val="32"/>
          <w:szCs w:val="32"/>
        </w:rPr>
        <w:t>起以上（含）</w:t>
      </w:r>
      <w:r>
        <w:rPr>
          <w:rFonts w:hint="eastAsia" w:ascii="宋体" w:hAnsi="宋体" w:eastAsia="方正仿宋_GBK" w:cs="方正仿宋_GBK"/>
          <w:sz w:val="32"/>
          <w:szCs w:val="32"/>
          <w:highlight w:val="none"/>
          <w:lang w:eastAsia="zh-CN"/>
        </w:rPr>
        <w:t>较大</w:t>
      </w:r>
      <w:r>
        <w:rPr>
          <w:rFonts w:hint="eastAsia" w:ascii="宋体" w:hAnsi="宋体" w:eastAsia="方正仿宋_GBK" w:cs="方正仿宋_GBK"/>
          <w:sz w:val="32"/>
          <w:szCs w:val="32"/>
        </w:rPr>
        <w:t>生产安全事故的；</w:t>
      </w:r>
    </w:p>
    <w:p w14:paraId="18CA7D7E">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（二）安全生产责任落实不到位，安全生产隐患普遍存在或严重的；</w:t>
      </w:r>
    </w:p>
    <w:p w14:paraId="372F8ADC">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（三）生产安全事故多发频发</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引发不良社会影响的；</w:t>
      </w:r>
    </w:p>
    <w:p w14:paraId="4FBA5EA0">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（四）漏报、谎报或瞒报生产安全事故的；</w:t>
      </w:r>
    </w:p>
    <w:p w14:paraId="68A35028">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（五）局安委会成员单位挂牌督办的生产安全事故、隐患未按要求完成调查的，或未落实责任追究、防范和整改措施的；</w:t>
      </w:r>
    </w:p>
    <w:p w14:paraId="308F8467">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（六）局安委会成员单位认为须开展约谈的其他情形。</w:t>
      </w:r>
    </w:p>
    <w:p w14:paraId="75245203">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b/>
          <w:bCs/>
          <w:sz w:val="32"/>
          <w:szCs w:val="32"/>
        </w:rPr>
        <w:t>第八条</w:t>
      </w:r>
      <w:r>
        <w:rPr>
          <w:rFonts w:hint="eastAsia" w:ascii="宋体" w:hAnsi="宋体" w:eastAsia="方正仿宋_GBK" w:cs="方正仿宋_GBK"/>
          <w:sz w:val="32"/>
          <w:szCs w:val="32"/>
        </w:rPr>
        <w:t xml:space="preserve"> 约谈以谈话形式进行。约谈时，约谈单位听取被约谈单位对有关情况的陈述，并针对被约谈单位存在的问题进行质询，提出具体整改要求。</w:t>
      </w:r>
    </w:p>
    <w:p w14:paraId="52D27E46">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b/>
          <w:bCs/>
          <w:sz w:val="32"/>
          <w:szCs w:val="32"/>
        </w:rPr>
        <w:t>第九条</w:t>
      </w:r>
      <w:r>
        <w:rPr>
          <w:rFonts w:hint="eastAsia" w:ascii="宋体" w:hAnsi="宋体" w:eastAsia="方正仿宋_GBK" w:cs="方正仿宋_GBK"/>
          <w:sz w:val="32"/>
          <w:szCs w:val="32"/>
        </w:rPr>
        <w:t xml:space="preserve"> </w:t>
      </w:r>
      <w:r>
        <w:rPr>
          <w:rFonts w:hint="eastAsia" w:ascii="宋体" w:hAnsi="宋体" w:eastAsia="方正仿宋_GBK" w:cs="方正仿宋_GBK"/>
          <w:sz w:val="32"/>
          <w:szCs w:val="32"/>
          <w:lang w:eastAsia="zh-CN"/>
        </w:rPr>
        <w:t>县交通运输</w:t>
      </w:r>
      <w:r>
        <w:rPr>
          <w:rFonts w:hint="eastAsia" w:ascii="宋体" w:hAnsi="宋体" w:eastAsia="方正仿宋_GBK" w:cs="方正仿宋_GBK"/>
          <w:sz w:val="32"/>
          <w:szCs w:val="32"/>
        </w:rPr>
        <w:t>局安委会进行的约谈，由</w:t>
      </w:r>
      <w:r>
        <w:rPr>
          <w:rFonts w:hint="eastAsia" w:ascii="宋体" w:hAnsi="宋体" w:eastAsia="方正仿宋_GBK" w:cs="方正仿宋_GBK"/>
          <w:sz w:val="32"/>
          <w:szCs w:val="32"/>
          <w:lang w:eastAsia="zh-CN"/>
        </w:rPr>
        <w:t>县</w:t>
      </w:r>
      <w:r>
        <w:rPr>
          <w:rFonts w:hint="eastAsia" w:ascii="宋体" w:hAnsi="宋体" w:eastAsia="方正仿宋_GBK" w:cs="方正仿宋_GBK"/>
          <w:sz w:val="32"/>
          <w:szCs w:val="32"/>
        </w:rPr>
        <w:t>局安委办提出建议，报局主要负责同志审定后，启动约谈程序；</w:t>
      </w:r>
      <w:r>
        <w:rPr>
          <w:rFonts w:hint="eastAsia" w:ascii="宋体" w:hAnsi="宋体" w:eastAsia="方正仿宋_GBK" w:cs="方正仿宋_GBK"/>
          <w:sz w:val="32"/>
          <w:szCs w:val="32"/>
          <w:lang w:eastAsia="zh-CN"/>
        </w:rPr>
        <w:t>县</w:t>
      </w:r>
      <w:r>
        <w:rPr>
          <w:rFonts w:hint="eastAsia" w:ascii="宋体" w:hAnsi="宋体" w:eastAsia="方正仿宋_GBK" w:cs="方正仿宋_GBK"/>
          <w:sz w:val="32"/>
          <w:szCs w:val="32"/>
        </w:rPr>
        <w:t>局安委会成员单位（相关业务</w:t>
      </w:r>
      <w:r>
        <w:rPr>
          <w:rFonts w:hint="eastAsia" w:ascii="宋体" w:hAnsi="宋体" w:eastAsia="方正仿宋_GBK" w:cs="方正仿宋_GBK"/>
          <w:sz w:val="32"/>
          <w:szCs w:val="32"/>
          <w:lang w:eastAsia="zh-CN"/>
        </w:rPr>
        <w:t>股</w:t>
      </w:r>
      <w:r>
        <w:rPr>
          <w:rFonts w:hint="eastAsia" w:ascii="宋体" w:hAnsi="宋体" w:eastAsia="方正仿宋_GBK" w:cs="方正仿宋_GBK"/>
          <w:sz w:val="32"/>
          <w:szCs w:val="32"/>
        </w:rPr>
        <w:t>室）进行的约谈，由</w:t>
      </w:r>
      <w:r>
        <w:rPr>
          <w:rFonts w:hint="eastAsia" w:ascii="宋体" w:hAnsi="宋体" w:eastAsia="方正仿宋_GBK" w:cs="方正仿宋_GBK"/>
          <w:sz w:val="32"/>
          <w:szCs w:val="32"/>
          <w:lang w:eastAsia="zh-CN"/>
        </w:rPr>
        <w:t>县</w:t>
      </w:r>
      <w:r>
        <w:rPr>
          <w:rFonts w:hint="eastAsia" w:ascii="宋体" w:hAnsi="宋体" w:eastAsia="方正仿宋_GBK" w:cs="方正仿宋_GBK"/>
          <w:sz w:val="32"/>
          <w:szCs w:val="32"/>
        </w:rPr>
        <w:t>局安委会有关成员单位（相关业务</w:t>
      </w:r>
      <w:r>
        <w:rPr>
          <w:rFonts w:hint="eastAsia" w:ascii="宋体" w:hAnsi="宋体" w:eastAsia="方正仿宋_GBK" w:cs="方正仿宋_GBK"/>
          <w:sz w:val="32"/>
          <w:szCs w:val="32"/>
          <w:lang w:eastAsia="zh-CN"/>
        </w:rPr>
        <w:t>股</w:t>
      </w:r>
      <w:r>
        <w:rPr>
          <w:rFonts w:hint="eastAsia" w:ascii="宋体" w:hAnsi="宋体" w:eastAsia="方正仿宋_GBK" w:cs="方正仿宋_GBK"/>
          <w:sz w:val="32"/>
          <w:szCs w:val="32"/>
        </w:rPr>
        <w:t>室）按照工作职责提出建议，报</w:t>
      </w:r>
      <w:r>
        <w:rPr>
          <w:rFonts w:hint="eastAsia" w:ascii="宋体" w:hAnsi="宋体" w:eastAsia="方正仿宋_GBK" w:cs="方正仿宋_GBK"/>
          <w:sz w:val="32"/>
          <w:szCs w:val="32"/>
          <w:lang w:eastAsia="zh-CN"/>
        </w:rPr>
        <w:t>县</w:t>
      </w:r>
      <w:r>
        <w:rPr>
          <w:rFonts w:hint="eastAsia" w:ascii="宋体" w:hAnsi="宋体" w:eastAsia="方正仿宋_GBK" w:cs="方正仿宋_GBK"/>
          <w:sz w:val="32"/>
          <w:szCs w:val="32"/>
        </w:rPr>
        <w:t>局分管负责同志审定后，启动约谈程序。</w:t>
      </w:r>
    </w:p>
    <w:p w14:paraId="7C763CD1">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b/>
          <w:bCs/>
          <w:sz w:val="32"/>
          <w:szCs w:val="32"/>
        </w:rPr>
        <w:t>第十条</w:t>
      </w:r>
      <w:r>
        <w:rPr>
          <w:rFonts w:hint="eastAsia" w:ascii="宋体" w:hAnsi="宋体" w:eastAsia="方正仿宋_GBK" w:cs="方正仿宋_GBK"/>
          <w:sz w:val="32"/>
          <w:szCs w:val="32"/>
        </w:rPr>
        <w:t xml:space="preserve"> 约谈经批准后，</w:t>
      </w:r>
      <w:r>
        <w:rPr>
          <w:rFonts w:hint="eastAsia" w:ascii="宋体" w:hAnsi="宋体" w:eastAsia="方正仿宋_GBK" w:cs="方正仿宋_GBK"/>
          <w:sz w:val="32"/>
          <w:szCs w:val="32"/>
          <w:lang w:eastAsia="zh-CN"/>
        </w:rPr>
        <w:t>县</w:t>
      </w:r>
      <w:r>
        <w:rPr>
          <w:rFonts w:hint="eastAsia" w:ascii="宋体" w:hAnsi="宋体" w:eastAsia="方正仿宋_GBK" w:cs="方正仿宋_GBK"/>
          <w:sz w:val="32"/>
          <w:szCs w:val="32"/>
        </w:rPr>
        <w:t>交通运输局书面通知被约谈单位（格式见附件1），告知被约谈单位约谈事由、时间、地点、程序、参加人员、需要提交的材料等。被约谈单位收到约谈通知书后，应在收到约谈通知2个工作日内以书面或电话形式确认通知事项。</w:t>
      </w:r>
    </w:p>
    <w:p w14:paraId="48F08C91">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b/>
          <w:bCs/>
          <w:sz w:val="32"/>
          <w:szCs w:val="32"/>
        </w:rPr>
        <w:t>第十一条</w:t>
      </w:r>
      <w:r>
        <w:rPr>
          <w:rFonts w:hint="eastAsia" w:ascii="宋体" w:hAnsi="宋体" w:eastAsia="方正仿宋_GBK" w:cs="方正仿宋_GBK"/>
          <w:sz w:val="32"/>
          <w:szCs w:val="32"/>
        </w:rPr>
        <w:t xml:space="preserve"> 被约谈单位应根据约谈通知要求准备书面材料</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主要包括基本情况、原因分析、主要教训以及采取的整改措施等，整改措施应可操作、可落实并明确具体计划和完成期限。</w:t>
      </w:r>
    </w:p>
    <w:p w14:paraId="27FE26E8">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b/>
          <w:bCs/>
          <w:sz w:val="32"/>
          <w:szCs w:val="32"/>
        </w:rPr>
        <w:t>第十二条</w:t>
      </w:r>
      <w:r>
        <w:rPr>
          <w:rFonts w:hint="eastAsia" w:ascii="宋体" w:hAnsi="宋体" w:eastAsia="方正仿宋_GBK" w:cs="方正仿宋_GBK"/>
          <w:sz w:val="32"/>
          <w:szCs w:val="32"/>
        </w:rPr>
        <w:t xml:space="preserve"> </w:t>
      </w:r>
      <w:r>
        <w:rPr>
          <w:rFonts w:hint="eastAsia" w:ascii="宋体" w:hAnsi="宋体" w:eastAsia="方正仿宋_GBK" w:cs="方正仿宋_GBK"/>
          <w:sz w:val="32"/>
          <w:szCs w:val="32"/>
          <w:lang w:eastAsia="zh-CN"/>
        </w:rPr>
        <w:t>县</w:t>
      </w:r>
      <w:r>
        <w:rPr>
          <w:rFonts w:hint="eastAsia" w:ascii="宋体" w:hAnsi="宋体" w:eastAsia="方正仿宋_GBK" w:cs="方正仿宋_GBK"/>
          <w:sz w:val="32"/>
          <w:szCs w:val="32"/>
        </w:rPr>
        <w:t>局参与约谈的人员除主约谈人外，还包括</w:t>
      </w:r>
      <w:r>
        <w:rPr>
          <w:rFonts w:hint="eastAsia" w:ascii="宋体" w:hAnsi="宋体" w:eastAsia="方正仿宋_GBK" w:cs="方正仿宋_GBK"/>
          <w:sz w:val="32"/>
          <w:szCs w:val="32"/>
          <w:lang w:eastAsia="zh-CN"/>
        </w:rPr>
        <w:t>县</w:t>
      </w:r>
      <w:r>
        <w:rPr>
          <w:rFonts w:hint="eastAsia" w:ascii="宋体" w:hAnsi="宋体" w:eastAsia="方正仿宋_GBK" w:cs="方正仿宋_GBK"/>
          <w:sz w:val="32"/>
          <w:szCs w:val="32"/>
        </w:rPr>
        <w:t>局安委会有关成员单位（相关业务</w:t>
      </w:r>
      <w:r>
        <w:rPr>
          <w:rFonts w:hint="eastAsia" w:ascii="宋体" w:hAnsi="宋体" w:eastAsia="方正仿宋_GBK" w:cs="方正仿宋_GBK"/>
          <w:sz w:val="32"/>
          <w:szCs w:val="32"/>
          <w:lang w:eastAsia="zh-CN"/>
        </w:rPr>
        <w:t>股</w:t>
      </w:r>
      <w:r>
        <w:rPr>
          <w:rFonts w:hint="eastAsia" w:ascii="宋体" w:hAnsi="宋体" w:eastAsia="方正仿宋_GBK" w:cs="方正仿宋_GBK"/>
          <w:sz w:val="32"/>
          <w:szCs w:val="32"/>
        </w:rPr>
        <w:t>室）负责人，以及组织约谈的相关人员等。</w:t>
      </w:r>
    </w:p>
    <w:p w14:paraId="2C27E578">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被约谈单位参与的人员除第六、第七条明确的主要被约谈人员外，还包括被约谈单位的安全生产管理机构负责人。</w:t>
      </w:r>
    </w:p>
    <w:p w14:paraId="3473A8E6">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根据约谈工作需要，可邀请有关专家、新闻媒体、公众代表等列席约谈。</w:t>
      </w:r>
    </w:p>
    <w:p w14:paraId="3B1E38D0">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b/>
          <w:bCs/>
          <w:sz w:val="32"/>
          <w:szCs w:val="32"/>
          <w:lang w:eastAsia="zh-CN"/>
        </w:rPr>
        <w:t>第十三条</w:t>
      </w:r>
      <w:r>
        <w:rPr>
          <w:rFonts w:hint="eastAsia" w:ascii="宋体" w:hAnsi="宋体" w:eastAsia="方正仿宋_GBK" w:cs="方正仿宋_GBK"/>
          <w:sz w:val="32"/>
          <w:szCs w:val="32"/>
          <w:lang w:eastAsia="zh-CN"/>
        </w:rPr>
        <w:t xml:space="preserve"> 县局安委会进行的约谈，由县局安委会办公室负责组织实施，县局安委会相关成员单位按职责分工参与约谈工作。其他约谈由县局安委会有关成员单位（相关业务股室）按工作职责单独或会同县局安委办共同组织实施。发起约谈的单位应与参加约谈的单位主动沟通，并就约谈事项达成一致，约谈实施后及时将约谈情况报县局安委办。实施程序包括：</w:t>
      </w:r>
    </w:p>
    <w:p w14:paraId="161C4C6B">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（一）约谈单位说明约谈事由和目的，通报被约谈方存在的问题；</w:t>
      </w:r>
    </w:p>
    <w:p w14:paraId="18E38ADA">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（二）被约谈单位就约谈事项进行陈述说明，提出拟采取的整改措施；</w:t>
      </w:r>
    </w:p>
    <w:p w14:paraId="33688971">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（三）约谈单位进行质询并提出整改要求，被约谈方根据要求确定整改措施及时限；</w:t>
      </w:r>
    </w:p>
    <w:p w14:paraId="170066C6">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（四）形成约谈纪要，印发至被约谈方和参加约谈的有关单位，其中县局安委会进行的约谈纪要抄送县安委办，县局安委会成员单位（相关业务股室）实施的约谈纪要抄送县局安委办；</w:t>
      </w:r>
    </w:p>
    <w:p w14:paraId="47D04B46">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（五）约谈结束后，县局将约谈通知、约谈记录、约谈纪要、被约谈单位所提供的材料立卷归档。</w:t>
      </w:r>
    </w:p>
    <w:p w14:paraId="3A6F6885">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b/>
          <w:bCs/>
          <w:sz w:val="32"/>
          <w:szCs w:val="32"/>
          <w:lang w:eastAsia="zh-CN"/>
        </w:rPr>
        <w:t>第十四条</w:t>
      </w:r>
      <w:r>
        <w:rPr>
          <w:rFonts w:hint="eastAsia" w:ascii="宋体" w:hAnsi="宋体" w:eastAsia="方正仿宋_GBK" w:cs="方正仿宋_GBK"/>
          <w:sz w:val="32"/>
          <w:szCs w:val="32"/>
          <w:lang w:eastAsia="zh-CN"/>
        </w:rPr>
        <w:t xml:space="preserve"> 整改措施落实与督促：</w:t>
      </w:r>
    </w:p>
    <w:p w14:paraId="7BCA9FF8">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（一）参加约谈和整改落实情况作为县局开展诚信评价、信用体系建设等有关工作的依据；</w:t>
      </w:r>
    </w:p>
    <w:p w14:paraId="538B020B">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（二）被约谈单位应当在约定的时限内将整改措施落实情况书面报县局，县局予以对照审核，必要时进行现场</w:t>
      </w:r>
      <w:bookmarkStart w:id="0" w:name="_GoBack"/>
      <w:bookmarkEnd w:id="0"/>
      <w:r>
        <w:rPr>
          <w:rFonts w:hint="eastAsia" w:ascii="宋体" w:hAnsi="宋体" w:eastAsia="方正仿宋_GBK" w:cs="方正仿宋_GBK"/>
          <w:sz w:val="32"/>
          <w:szCs w:val="32"/>
          <w:lang w:eastAsia="zh-CN"/>
        </w:rPr>
        <w:t>核查；</w:t>
      </w:r>
    </w:p>
    <w:p w14:paraId="5FAB56C5">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（三）被约谈单位无故不参加约谈或未认真落实约谈要求的，县局将根据《中华人民共和国安全生产法》等法律法规要求加强现场监督检查，并根据现场检查情况依法依规给予处理；</w:t>
      </w:r>
    </w:p>
    <w:p w14:paraId="1737183A">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（四）落实整改措施不力，连续发生事故的，县局将依法依规严肃追究责任。</w:t>
      </w:r>
    </w:p>
    <w:p w14:paraId="70FB9554">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b/>
          <w:bCs/>
          <w:sz w:val="32"/>
          <w:szCs w:val="32"/>
          <w:lang w:eastAsia="zh-CN"/>
        </w:rPr>
        <w:t>第十五条</w:t>
      </w:r>
      <w:r>
        <w:rPr>
          <w:rFonts w:hint="eastAsia" w:ascii="宋体" w:hAnsi="宋体" w:eastAsia="方正仿宋_GBK" w:cs="方正仿宋_GBK"/>
          <w:sz w:val="32"/>
          <w:szCs w:val="32"/>
          <w:lang w:eastAsia="zh-CN"/>
        </w:rPr>
        <w:t xml:space="preserve"> 约谈单位和被约谈单位根据相关规定及工作需 要及时向社会公开约谈情况，接受社会监督。</w:t>
      </w:r>
    </w:p>
    <w:p w14:paraId="361ADCA2">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p>
    <w:p w14:paraId="0FAE5981">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第三章</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lang w:eastAsia="zh-CN"/>
        </w:rPr>
        <w:t>挂牌督办</w:t>
      </w:r>
    </w:p>
    <w:p w14:paraId="7C2F56D3">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b/>
          <w:bCs/>
          <w:sz w:val="32"/>
          <w:szCs w:val="32"/>
          <w:lang w:eastAsia="zh-CN"/>
        </w:rPr>
        <w:t>第十六条</w:t>
      </w:r>
      <w:r>
        <w:rPr>
          <w:rFonts w:hint="eastAsia" w:ascii="宋体" w:hAnsi="宋体" w:eastAsia="方正仿宋_GBK" w:cs="方正仿宋_GBK"/>
          <w:sz w:val="32"/>
          <w:szCs w:val="32"/>
          <w:lang w:eastAsia="zh-CN"/>
        </w:rPr>
        <w:t xml:space="preserve"> 挂牌督办单位对下列事项实施挂牌督办：</w:t>
      </w:r>
    </w:p>
    <w:p w14:paraId="7852D513">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（一）上级单位或部门督办整改的安全生产事项；</w:t>
      </w:r>
    </w:p>
    <w:p w14:paraId="3A02D06E">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（二）发生交通运输生产安全责任事故，需进行整改的；</w:t>
      </w:r>
    </w:p>
    <w:p w14:paraId="52234BFA">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（三）存在交通运输事故隐患，需重点督促进行整改的；</w:t>
      </w:r>
    </w:p>
    <w:p w14:paraId="631ADDEE">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（四）存在交通运输安全监管和安全管理问题，需重点督促进行整改的。</w:t>
      </w:r>
    </w:p>
    <w:p w14:paraId="7A746EE6">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b/>
          <w:bCs/>
          <w:sz w:val="32"/>
          <w:szCs w:val="32"/>
          <w:lang w:eastAsia="zh-CN"/>
        </w:rPr>
        <w:t>第十七条</w:t>
      </w:r>
      <w:r>
        <w:rPr>
          <w:rFonts w:hint="eastAsia" w:ascii="宋体" w:hAnsi="宋体" w:eastAsia="方正仿宋_GBK" w:cs="方正仿宋_GBK"/>
          <w:sz w:val="32"/>
          <w:szCs w:val="32"/>
          <w:lang w:eastAsia="zh-CN"/>
        </w:rPr>
        <w:t xml:space="preserve"> 有下列情形之一的，由县交通运输局实施挂牌督办：</w:t>
      </w:r>
    </w:p>
    <w:p w14:paraId="69B32715">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（一）县政府、市交通运输局及其安委办交办需由县局牵头督办整改的；</w:t>
      </w:r>
    </w:p>
    <w:p w14:paraId="76765D3D">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（二）发生性质严重、社会影响恶劣的安全生产事故或易造成群死群伤的重大险情，或存在重大安全生产隐患，需县局重点督促进行整改的；</w:t>
      </w:r>
    </w:p>
    <w:p w14:paraId="0DFFCD50">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（三）上级单位明确要求县局挂牌督办的重大隐患；</w:t>
      </w:r>
    </w:p>
    <w:p w14:paraId="66ECC588">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（四）安全监管和安全管理存在突出问题，需县局重点督促进行整改的；</w:t>
      </w:r>
    </w:p>
    <w:p w14:paraId="42CAEDD9">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（五）未按期完成县局约谈整改的，或整改工作不力的；</w:t>
      </w:r>
    </w:p>
    <w:p w14:paraId="43EDACAC">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（六）其他需要挂牌督办的情形。</w:t>
      </w:r>
    </w:p>
    <w:p w14:paraId="0716CCEA">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b/>
          <w:bCs/>
          <w:sz w:val="32"/>
          <w:szCs w:val="32"/>
          <w:lang w:eastAsia="zh-CN"/>
        </w:rPr>
        <w:t>第十八条</w:t>
      </w:r>
      <w:r>
        <w:rPr>
          <w:rFonts w:hint="eastAsia" w:ascii="宋体" w:hAnsi="宋体" w:eastAsia="方正仿宋_GBK" w:cs="方正仿宋_GBK"/>
          <w:sz w:val="32"/>
          <w:szCs w:val="32"/>
          <w:lang w:eastAsia="zh-CN"/>
        </w:rPr>
        <w:t xml:space="preserve"> 挂牌督办应以书面形式告知被挂牌督办单位，通知应包括督办事项、督办内容、整改要求、办理期限核销程序等内容，对符合主动公开条件的，应主动向社会公开。</w:t>
      </w:r>
    </w:p>
    <w:p w14:paraId="5269DF7B">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b/>
          <w:bCs/>
          <w:sz w:val="32"/>
          <w:szCs w:val="32"/>
          <w:lang w:eastAsia="zh-CN"/>
        </w:rPr>
        <w:t>第十九条</w:t>
      </w:r>
      <w:r>
        <w:rPr>
          <w:rFonts w:hint="eastAsia" w:ascii="宋体" w:hAnsi="宋体" w:eastAsia="方正仿宋_GBK" w:cs="方正仿宋_GBK"/>
          <w:sz w:val="32"/>
          <w:szCs w:val="32"/>
          <w:lang w:eastAsia="zh-CN"/>
        </w:rPr>
        <w:t xml:space="preserve"> 被挂牌督办单位应及时制定和完善整改方案，收到督办通知起30日内报挂牌督办单位，并组织实施。接受挂牌督办单位的跟踪督导。</w:t>
      </w:r>
    </w:p>
    <w:p w14:paraId="2A09AAB8">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整改方案应包括目标和任务，责任部门和责任人，风险防控和隐患排查治理工作计划、整改措施、时间安排、应急预案和保障措施等内容。</w:t>
      </w:r>
    </w:p>
    <w:p w14:paraId="6A086FF5">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b/>
          <w:bCs/>
          <w:sz w:val="32"/>
          <w:szCs w:val="32"/>
          <w:lang w:eastAsia="zh-CN"/>
        </w:rPr>
        <w:t>第二十条</w:t>
      </w:r>
      <w:r>
        <w:rPr>
          <w:rFonts w:hint="eastAsia" w:ascii="宋体" w:hAnsi="宋体" w:eastAsia="方正仿宋_GBK" w:cs="方正仿宋_GBK"/>
          <w:sz w:val="32"/>
          <w:szCs w:val="32"/>
          <w:lang w:eastAsia="zh-CN"/>
        </w:rPr>
        <w:t xml:space="preserve"> 挂牌督办单位应掌握整改落实进展情况，适时开展跟踪督导。指导、督促其按要求完成整改工作，协调解决安全生产重大问题。</w:t>
      </w:r>
    </w:p>
    <w:p w14:paraId="0E9ACBFC">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b/>
          <w:bCs/>
          <w:sz w:val="32"/>
          <w:szCs w:val="32"/>
          <w:lang w:eastAsia="zh-CN"/>
        </w:rPr>
        <w:t>第二十一条</w:t>
      </w:r>
      <w:r>
        <w:rPr>
          <w:rFonts w:hint="eastAsia" w:ascii="宋体" w:hAnsi="宋体" w:eastAsia="方正仿宋_GBK" w:cs="方正仿宋_GBK"/>
          <w:sz w:val="32"/>
          <w:szCs w:val="32"/>
          <w:lang w:eastAsia="zh-CN"/>
        </w:rPr>
        <w:t xml:space="preserve"> 被挂牌督办单位按照要求完成整改后，应及时将整改报告报挂牌督办单位审核，并提出核销申请。</w:t>
      </w:r>
    </w:p>
    <w:p w14:paraId="43469753">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b/>
          <w:bCs/>
          <w:sz w:val="32"/>
          <w:szCs w:val="32"/>
          <w:lang w:eastAsia="zh-CN"/>
        </w:rPr>
        <w:t>第二十二条</w:t>
      </w:r>
      <w:r>
        <w:rPr>
          <w:rFonts w:hint="eastAsia" w:ascii="宋体" w:hAnsi="宋体" w:eastAsia="方正仿宋_GBK" w:cs="方正仿宋_GBK"/>
          <w:sz w:val="32"/>
          <w:szCs w:val="32"/>
          <w:lang w:eastAsia="zh-CN"/>
        </w:rPr>
        <w:t xml:space="preserve"> 挂牌督办单位收到核销申请后，应对督办事项的整改情况进行核实，提出核销意见。同意核销的，下发通知予以核销；不同意核销的，应说明理由，并责令继续整改。</w:t>
      </w:r>
    </w:p>
    <w:p w14:paraId="69F00BFB">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b/>
          <w:bCs/>
          <w:sz w:val="32"/>
          <w:szCs w:val="32"/>
          <w:lang w:eastAsia="zh-CN"/>
        </w:rPr>
        <w:t>第二十三条</w:t>
      </w:r>
      <w:r>
        <w:rPr>
          <w:rFonts w:hint="eastAsia" w:ascii="宋体" w:hAnsi="宋体" w:eastAsia="方正仿宋_GBK" w:cs="方正仿宋_GBK"/>
          <w:sz w:val="32"/>
          <w:szCs w:val="32"/>
          <w:lang w:eastAsia="zh-CN"/>
        </w:rPr>
        <w:t xml:space="preserve"> 被挂牌督办单位由于非自身原因导致不能在规定时限内完成整改的，应当说明原因，制定安全生产防范措施和相应的应急预案，并报挂牌督办单位。</w:t>
      </w:r>
    </w:p>
    <w:p w14:paraId="6FC43C10">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b/>
          <w:bCs/>
          <w:sz w:val="32"/>
          <w:szCs w:val="32"/>
          <w:lang w:eastAsia="zh-CN"/>
        </w:rPr>
        <w:t>第二十四条</w:t>
      </w:r>
      <w:r>
        <w:rPr>
          <w:rFonts w:hint="eastAsia" w:ascii="宋体" w:hAnsi="宋体" w:eastAsia="方正仿宋_GBK" w:cs="方正仿宋_GBK"/>
          <w:sz w:val="32"/>
          <w:szCs w:val="32"/>
          <w:lang w:eastAsia="zh-CN"/>
        </w:rPr>
        <w:t xml:space="preserve"> 挂牌督办单位在跟踪督导或安全生产检查中，发现被挂牌督办单位未按要求整改或整改不力的，应依法依规予以处理。</w:t>
      </w:r>
    </w:p>
    <w:p w14:paraId="6A786EC1">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b/>
          <w:bCs/>
          <w:sz w:val="32"/>
          <w:szCs w:val="32"/>
          <w:lang w:eastAsia="zh-CN"/>
        </w:rPr>
        <w:t>第二十五条</w:t>
      </w:r>
      <w:r>
        <w:rPr>
          <w:rFonts w:hint="eastAsia" w:ascii="宋体" w:hAnsi="宋体" w:eastAsia="方正仿宋_GBK" w:cs="方正仿宋_GBK"/>
          <w:sz w:val="32"/>
          <w:szCs w:val="32"/>
          <w:lang w:eastAsia="zh-CN"/>
        </w:rPr>
        <w:t xml:space="preserve"> 县交通运输局挂牌督办的安全生产事项，由县局相关股室提出，报县局领导批准，以县局安委办的名义挂牌督办，并由提出的相关业务股室负责跟踪督办。</w:t>
      </w:r>
    </w:p>
    <w:p w14:paraId="724BC2DC">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p>
    <w:p w14:paraId="088B3447">
      <w:pPr>
        <w:keepNext w:val="0"/>
        <w:keepLines w:val="0"/>
        <w:pageBreakBefore w:val="0"/>
        <w:widowControl w:val="0"/>
        <w:kinsoku/>
        <w:wordWrap/>
        <w:overflowPunct w:val="0"/>
        <w:topLinePunct w:val="0"/>
        <w:autoSpaceDE/>
        <w:autoSpaceDN/>
        <w:bidi w:val="0"/>
        <w:adjustRightInd w:val="0"/>
        <w:snapToGrid w:val="0"/>
        <w:spacing w:line="580" w:lineRule="exact"/>
        <w:jc w:val="center"/>
        <w:textAlignment w:val="auto"/>
        <w:rPr>
          <w:rFonts w:hint="eastAsia" w:ascii="宋体" w:hAnsi="宋体" w:eastAsia="方正仿宋_GBK" w:cs="方正仿宋_GBK"/>
          <w:sz w:val="32"/>
          <w:szCs w:val="32"/>
          <w:lang w:eastAsia="zh-CN"/>
        </w:rPr>
      </w:pPr>
      <w:r>
        <w:rPr>
          <w:rFonts w:hint="eastAsia" w:ascii="方正黑体_GBK" w:hAnsi="方正黑体_GBK" w:eastAsia="方正黑体_GBK" w:cs="方正黑体_GBK"/>
          <w:sz w:val="32"/>
          <w:szCs w:val="32"/>
          <w:lang w:eastAsia="zh-CN"/>
        </w:rPr>
        <w:t>第四章</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lang w:eastAsia="zh-CN"/>
        </w:rPr>
        <w:t>附</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lang w:eastAsia="zh-CN"/>
        </w:rPr>
        <w:t>则</w:t>
      </w:r>
    </w:p>
    <w:p w14:paraId="570B48DD">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b/>
          <w:bCs/>
          <w:sz w:val="32"/>
          <w:szCs w:val="32"/>
          <w:lang w:eastAsia="zh-CN"/>
        </w:rPr>
        <w:t>第二十六条</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lang w:eastAsia="zh-CN"/>
        </w:rPr>
        <w:t>本办法由东源县交通运输局负责解释。</w:t>
      </w:r>
    </w:p>
    <w:p w14:paraId="5334EF13">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b/>
          <w:bCs/>
          <w:sz w:val="32"/>
          <w:szCs w:val="32"/>
          <w:lang w:eastAsia="zh-CN"/>
        </w:rPr>
        <w:t>第二十七条</w:t>
      </w:r>
      <w:r>
        <w:rPr>
          <w:rFonts w:hint="eastAsia" w:ascii="宋体" w:hAnsi="宋体" w:eastAsia="方正仿宋_GBK" w:cs="方正仿宋_GBK"/>
          <w:b/>
          <w:bCs/>
          <w:sz w:val="32"/>
          <w:szCs w:val="32"/>
          <w:lang w:val="en-US" w:eastAsia="zh-CN"/>
        </w:rPr>
        <w:t xml:space="preserve"> </w:t>
      </w:r>
      <w:r>
        <w:rPr>
          <w:rFonts w:hint="eastAsia" w:ascii="宋体" w:hAnsi="宋体" w:eastAsia="方正仿宋_GBK" w:cs="方正仿宋_GBK"/>
          <w:b w:val="0"/>
          <w:bCs w:val="0"/>
          <w:sz w:val="32"/>
          <w:szCs w:val="32"/>
          <w:lang w:val="en-US" w:eastAsia="zh-CN"/>
        </w:rPr>
        <w:t>本办法</w:t>
      </w:r>
      <w:r>
        <w:rPr>
          <w:rFonts w:hint="eastAsia" w:ascii="宋体" w:hAnsi="宋体" w:eastAsia="方正仿宋_GBK" w:cs="方正仿宋_GBK"/>
          <w:sz w:val="32"/>
          <w:szCs w:val="32"/>
          <w:lang w:eastAsia="zh-CN"/>
        </w:rPr>
        <w:t>有效期3年。如遇国家、省、市政策调整，按新政策执行。</w:t>
      </w:r>
    </w:p>
    <w:p w14:paraId="5C10E8BA">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p>
    <w:p w14:paraId="600A50B3">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 xml:space="preserve">附件：1.东源县交通运输局安全生产约谈通知书 </w:t>
      </w:r>
    </w:p>
    <w:p w14:paraId="0ED53808">
      <w:pPr>
        <w:keepNext w:val="0"/>
        <w:keepLines w:val="0"/>
        <w:pageBreakBefore w:val="0"/>
        <w:widowControl w:val="0"/>
        <w:kinsoku/>
        <w:wordWrap/>
        <w:overflowPunct w:val="0"/>
        <w:topLinePunct w:val="0"/>
        <w:autoSpaceDE/>
        <w:autoSpaceDN/>
        <w:bidi w:val="0"/>
        <w:adjustRightInd w:val="0"/>
        <w:snapToGrid w:val="0"/>
        <w:spacing w:line="580" w:lineRule="exact"/>
        <w:ind w:firstLine="1600" w:firstLineChars="5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2.东源县交通运输局安全生产约谈记录</w:t>
      </w:r>
    </w:p>
    <w:p w14:paraId="714347DC">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lang w:eastAsia="zh-CN"/>
        </w:rPr>
      </w:pPr>
    </w:p>
    <w:p w14:paraId="40FAB1F1">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lang w:eastAsia="zh-CN"/>
        </w:rPr>
      </w:pPr>
    </w:p>
    <w:p w14:paraId="1D4175A8">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lang w:eastAsia="zh-CN"/>
        </w:rPr>
      </w:pPr>
    </w:p>
    <w:p w14:paraId="53D32E28">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lang w:eastAsia="zh-CN"/>
        </w:rPr>
      </w:pPr>
    </w:p>
    <w:p w14:paraId="58204304">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lang w:eastAsia="zh-CN"/>
        </w:rPr>
      </w:pPr>
    </w:p>
    <w:p w14:paraId="599EC06A">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lang w:eastAsia="zh-CN"/>
        </w:rPr>
      </w:pPr>
    </w:p>
    <w:p w14:paraId="52926F96">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lang w:eastAsia="zh-CN"/>
        </w:rPr>
      </w:pPr>
    </w:p>
    <w:p w14:paraId="50D0E7B5">
      <w:pPr>
        <w:keepNext w:val="0"/>
        <w:keepLines w:val="0"/>
        <w:pageBreakBefore w:val="0"/>
        <w:widowControl w:val="0"/>
        <w:kinsoku/>
        <w:wordWrap/>
        <w:overflowPunct/>
        <w:topLinePunct w:val="0"/>
        <w:autoSpaceDE/>
        <w:autoSpaceDN/>
        <w:bidi w:val="0"/>
        <w:adjustRightInd/>
        <w:snapToGrid/>
        <w:spacing w:line="240" w:lineRule="auto"/>
        <w:ind w:left="149"/>
        <w:textAlignment w:val="auto"/>
        <w:rPr>
          <w:rFonts w:hint="eastAsia" w:ascii="仿宋" w:hAnsi="仿宋" w:eastAsia="仿宋" w:cs="仿宋"/>
          <w:sz w:val="32"/>
          <w:szCs w:val="32"/>
        </w:rPr>
      </w:pPr>
      <w:r>
        <w:rPr>
          <w:rFonts w:hint="eastAsia" w:ascii="仿宋" w:hAnsi="仿宋" w:eastAsia="仿宋" w:cs="仿宋"/>
          <w:spacing w:val="3"/>
          <w:sz w:val="32"/>
          <w:szCs w:val="32"/>
        </w:rPr>
        <w:t>附件</w:t>
      </w:r>
      <w:r>
        <w:rPr>
          <w:rFonts w:hint="eastAsia" w:ascii="仿宋" w:hAnsi="仿宋" w:eastAsia="仿宋" w:cs="仿宋"/>
          <w:spacing w:val="3"/>
          <w:sz w:val="32"/>
          <w:szCs w:val="32"/>
          <w:lang w:val="en-US" w:eastAsia="zh-CN"/>
        </w:rPr>
        <w:t>1</w:t>
      </w:r>
      <w:r>
        <w:rPr>
          <w:rFonts w:hint="eastAsia" w:ascii="仿宋" w:hAnsi="仿宋" w:eastAsia="仿宋" w:cs="仿宋"/>
          <w:spacing w:val="3"/>
          <w:sz w:val="32"/>
          <w:szCs w:val="32"/>
        </w:rPr>
        <w:t>：</w:t>
      </w:r>
    </w:p>
    <w:p w14:paraId="33F0A15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sz w:val="32"/>
          <w:szCs w:val="32"/>
        </w:rPr>
      </w:pPr>
      <w:r>
        <w:rPr>
          <w:rFonts w:hint="eastAsia" w:ascii="方正小标宋_GBK" w:hAnsi="方正小标宋_GBK" w:eastAsia="方正小标宋_GBK" w:cs="方正小标宋_GBK"/>
          <w:b w:val="0"/>
          <w:bCs w:val="0"/>
          <w:spacing w:val="19"/>
          <w:sz w:val="44"/>
          <w:szCs w:val="44"/>
          <w:lang w:eastAsia="zh-CN"/>
        </w:rPr>
        <w:t>东源县</w:t>
      </w:r>
      <w:r>
        <w:rPr>
          <w:rFonts w:hint="eastAsia" w:ascii="方正小标宋_GBK" w:hAnsi="方正小标宋_GBK" w:eastAsia="方正小标宋_GBK" w:cs="方正小标宋_GBK"/>
          <w:b w:val="0"/>
          <w:bCs w:val="0"/>
          <w:spacing w:val="19"/>
          <w:sz w:val="44"/>
          <w:szCs w:val="44"/>
        </w:rPr>
        <w:t>交通运输局安全生产约谈通知书</w:t>
      </w:r>
    </w:p>
    <w:p w14:paraId="5B7CD2DC">
      <w:pPr>
        <w:keepNext w:val="0"/>
        <w:keepLines w:val="0"/>
        <w:pageBreakBefore w:val="0"/>
        <w:widowControl w:val="0"/>
        <w:kinsoku/>
        <w:wordWrap/>
        <w:overflowPunct/>
        <w:topLinePunct w:val="0"/>
        <w:autoSpaceDE/>
        <w:autoSpaceDN/>
        <w:bidi w:val="0"/>
        <w:adjustRightInd/>
        <w:snapToGrid/>
        <w:spacing w:line="240" w:lineRule="auto"/>
        <w:ind w:left="5571"/>
        <w:jc w:val="right"/>
        <w:textAlignment w:val="auto"/>
        <w:rPr>
          <w:rFonts w:hint="eastAsia" w:ascii="仿宋" w:hAnsi="仿宋" w:eastAsia="仿宋" w:cs="仿宋"/>
          <w:sz w:val="32"/>
          <w:szCs w:val="32"/>
        </w:rPr>
      </w:pPr>
      <w:r>
        <w:rPr>
          <w:rFonts w:hint="eastAsia" w:ascii="仿宋" w:hAnsi="仿宋" w:eastAsia="仿宋" w:cs="仿宋"/>
          <w:sz w:val="32"/>
          <w:szCs w:val="32"/>
        </w:rPr>
        <w:t>编号</w:t>
      </w:r>
      <w:r>
        <w:rPr>
          <w:rFonts w:hint="eastAsia" w:ascii="仿宋" w:hAnsi="仿宋" w:eastAsia="仿宋" w:cs="仿宋"/>
          <w:spacing w:val="-44"/>
          <w:sz w:val="32"/>
          <w:szCs w:val="32"/>
        </w:rPr>
        <w:t>：〔</w:t>
      </w:r>
      <w:r>
        <w:rPr>
          <w:rFonts w:hint="eastAsia" w:ascii="仿宋" w:hAnsi="仿宋" w:eastAsia="仿宋" w:cs="仿宋"/>
          <w:spacing w:val="-44"/>
          <w:sz w:val="32"/>
          <w:szCs w:val="32"/>
          <w:lang w:val="en-US" w:eastAsia="zh-CN"/>
        </w:rPr>
        <w:t xml:space="preserve"> </w:t>
      </w:r>
      <w:r>
        <w:rPr>
          <w:rFonts w:hint="eastAsia" w:ascii="仿宋" w:hAnsi="仿宋" w:eastAsia="仿宋" w:cs="仿宋"/>
          <w:sz w:val="32"/>
          <w:szCs w:val="32"/>
        </w:rPr>
        <w:t>20</w:t>
      </w:r>
      <w:r>
        <w:rPr>
          <w:rFonts w:hint="eastAsia" w:ascii="仿宋" w:hAnsi="仿宋" w:eastAsia="仿宋" w:cs="仿宋"/>
          <w:spacing w:val="16"/>
          <w:sz w:val="32"/>
          <w:szCs w:val="32"/>
        </w:rPr>
        <w:t xml:space="preserve">  </w:t>
      </w:r>
      <w:r>
        <w:rPr>
          <w:rFonts w:hint="eastAsia" w:ascii="仿宋" w:hAnsi="仿宋" w:eastAsia="仿宋" w:cs="仿宋"/>
          <w:sz w:val="32"/>
          <w:szCs w:val="32"/>
        </w:rPr>
        <w:t>〕</w:t>
      </w:r>
      <w:r>
        <w:rPr>
          <w:rFonts w:hint="eastAsia" w:ascii="仿宋" w:hAnsi="仿宋" w:eastAsia="仿宋" w:cs="仿宋"/>
          <w:spacing w:val="31"/>
          <w:sz w:val="32"/>
          <w:szCs w:val="32"/>
        </w:rPr>
        <w:t xml:space="preserve">  </w:t>
      </w:r>
      <w:r>
        <w:rPr>
          <w:rFonts w:hint="eastAsia" w:ascii="仿宋" w:hAnsi="仿宋" w:eastAsia="仿宋" w:cs="仿宋"/>
          <w:sz w:val="32"/>
          <w:szCs w:val="32"/>
        </w:rPr>
        <w:t>号</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5"/>
        <w:gridCol w:w="2265"/>
        <w:gridCol w:w="2265"/>
        <w:gridCol w:w="2266"/>
      </w:tblGrid>
      <w:tr w14:paraId="3E52F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Align w:val="center"/>
          </w:tcPr>
          <w:p w14:paraId="4AF25AE4">
            <w:pPr>
              <w:pStyle w:val="2"/>
              <w:spacing w:line="240" w:lineRule="auto"/>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约谈人</w:t>
            </w:r>
          </w:p>
        </w:tc>
        <w:tc>
          <w:tcPr>
            <w:tcW w:w="6796" w:type="dxa"/>
            <w:gridSpan w:val="3"/>
            <w:vAlign w:val="center"/>
          </w:tcPr>
          <w:p w14:paraId="2076B5A2">
            <w:pPr>
              <w:pStyle w:val="2"/>
              <w:spacing w:line="240" w:lineRule="auto"/>
              <w:jc w:val="center"/>
              <w:rPr>
                <w:rFonts w:hint="eastAsia" w:ascii="仿宋" w:hAnsi="仿宋" w:eastAsia="仿宋" w:cs="仿宋"/>
                <w:sz w:val="32"/>
                <w:szCs w:val="32"/>
                <w:vertAlign w:val="baseline"/>
                <w:lang w:eastAsia="zh-CN"/>
              </w:rPr>
            </w:pPr>
          </w:p>
        </w:tc>
      </w:tr>
      <w:tr w14:paraId="17604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Align w:val="center"/>
          </w:tcPr>
          <w:p w14:paraId="713E167D">
            <w:pPr>
              <w:pStyle w:val="2"/>
              <w:spacing w:line="240" w:lineRule="auto"/>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被约谈单位</w:t>
            </w:r>
          </w:p>
        </w:tc>
        <w:tc>
          <w:tcPr>
            <w:tcW w:w="6796" w:type="dxa"/>
            <w:gridSpan w:val="3"/>
            <w:vAlign w:val="center"/>
          </w:tcPr>
          <w:p w14:paraId="694AA854">
            <w:pPr>
              <w:pStyle w:val="2"/>
              <w:spacing w:line="240" w:lineRule="auto"/>
              <w:jc w:val="center"/>
              <w:rPr>
                <w:rFonts w:hint="eastAsia" w:ascii="仿宋" w:hAnsi="仿宋" w:eastAsia="仿宋" w:cs="仿宋"/>
                <w:sz w:val="32"/>
                <w:szCs w:val="32"/>
                <w:vertAlign w:val="baseline"/>
                <w:lang w:eastAsia="zh-CN"/>
              </w:rPr>
            </w:pPr>
          </w:p>
        </w:tc>
      </w:tr>
      <w:tr w14:paraId="3838E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Align w:val="center"/>
          </w:tcPr>
          <w:p w14:paraId="23504056">
            <w:pPr>
              <w:pStyle w:val="2"/>
              <w:spacing w:line="240" w:lineRule="auto"/>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参加约谈单位</w:t>
            </w:r>
          </w:p>
        </w:tc>
        <w:tc>
          <w:tcPr>
            <w:tcW w:w="6796" w:type="dxa"/>
            <w:gridSpan w:val="3"/>
            <w:vAlign w:val="center"/>
          </w:tcPr>
          <w:p w14:paraId="18C703D6">
            <w:pPr>
              <w:pStyle w:val="2"/>
              <w:spacing w:line="240" w:lineRule="auto"/>
              <w:jc w:val="center"/>
              <w:rPr>
                <w:rFonts w:hint="eastAsia" w:ascii="仿宋" w:hAnsi="仿宋" w:eastAsia="仿宋" w:cs="仿宋"/>
                <w:sz w:val="32"/>
                <w:szCs w:val="32"/>
                <w:vertAlign w:val="baseline"/>
                <w:lang w:eastAsia="zh-CN"/>
              </w:rPr>
            </w:pPr>
          </w:p>
        </w:tc>
      </w:tr>
      <w:tr w14:paraId="3B982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Align w:val="center"/>
          </w:tcPr>
          <w:p w14:paraId="172B3CDB">
            <w:pPr>
              <w:pStyle w:val="2"/>
              <w:spacing w:line="240" w:lineRule="auto"/>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约谈地点</w:t>
            </w:r>
          </w:p>
        </w:tc>
        <w:tc>
          <w:tcPr>
            <w:tcW w:w="2265" w:type="dxa"/>
            <w:vAlign w:val="center"/>
          </w:tcPr>
          <w:p w14:paraId="0601D0F8">
            <w:pPr>
              <w:pStyle w:val="2"/>
              <w:spacing w:line="240" w:lineRule="auto"/>
              <w:jc w:val="center"/>
              <w:rPr>
                <w:rFonts w:hint="eastAsia" w:ascii="仿宋" w:hAnsi="仿宋" w:eastAsia="仿宋" w:cs="仿宋"/>
                <w:sz w:val="32"/>
                <w:szCs w:val="32"/>
                <w:vertAlign w:val="baseline"/>
                <w:lang w:eastAsia="zh-CN"/>
              </w:rPr>
            </w:pPr>
          </w:p>
        </w:tc>
        <w:tc>
          <w:tcPr>
            <w:tcW w:w="2265" w:type="dxa"/>
            <w:vAlign w:val="center"/>
          </w:tcPr>
          <w:p w14:paraId="49E88A43">
            <w:pPr>
              <w:pStyle w:val="2"/>
              <w:spacing w:line="240" w:lineRule="auto"/>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约谈时间</w:t>
            </w:r>
          </w:p>
        </w:tc>
        <w:tc>
          <w:tcPr>
            <w:tcW w:w="2266" w:type="dxa"/>
            <w:vAlign w:val="center"/>
          </w:tcPr>
          <w:p w14:paraId="767B71BC">
            <w:pPr>
              <w:pStyle w:val="2"/>
              <w:spacing w:line="240" w:lineRule="auto"/>
              <w:jc w:val="center"/>
              <w:rPr>
                <w:rFonts w:hint="eastAsia" w:ascii="仿宋" w:hAnsi="仿宋" w:eastAsia="仿宋" w:cs="仿宋"/>
                <w:sz w:val="32"/>
                <w:szCs w:val="32"/>
                <w:vertAlign w:val="baseline"/>
                <w:lang w:eastAsia="zh-CN"/>
              </w:rPr>
            </w:pPr>
          </w:p>
        </w:tc>
      </w:tr>
      <w:tr w14:paraId="52EAD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gridSpan w:val="4"/>
            <w:vAlign w:val="center"/>
          </w:tcPr>
          <w:p w14:paraId="5EF22663">
            <w:pPr>
              <w:pStyle w:val="2"/>
              <w:spacing w:line="240" w:lineRule="auto"/>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约</w:t>
            </w:r>
            <w:r>
              <w:rPr>
                <w:rFonts w:hint="eastAsia" w:ascii="仿宋" w:hAnsi="仿宋" w:eastAsia="仿宋" w:cs="仿宋"/>
                <w:sz w:val="32"/>
                <w:szCs w:val="32"/>
                <w:vertAlign w:val="baseline"/>
                <w:lang w:val="en-US" w:eastAsia="zh-CN"/>
              </w:rPr>
              <w:t xml:space="preserve">     </w:t>
            </w:r>
            <w:r>
              <w:rPr>
                <w:rFonts w:hint="eastAsia" w:ascii="仿宋" w:hAnsi="仿宋" w:eastAsia="仿宋" w:cs="仿宋"/>
                <w:sz w:val="32"/>
                <w:szCs w:val="32"/>
                <w:vertAlign w:val="baseline"/>
                <w:lang w:eastAsia="zh-CN"/>
              </w:rPr>
              <w:t>谈</w:t>
            </w:r>
            <w:r>
              <w:rPr>
                <w:rFonts w:hint="eastAsia" w:ascii="仿宋" w:hAnsi="仿宋" w:eastAsia="仿宋" w:cs="仿宋"/>
                <w:sz w:val="32"/>
                <w:szCs w:val="32"/>
                <w:vertAlign w:val="baseline"/>
                <w:lang w:val="en-US" w:eastAsia="zh-CN"/>
              </w:rPr>
              <w:t xml:space="preserve">     </w:t>
            </w:r>
            <w:r>
              <w:rPr>
                <w:rFonts w:hint="eastAsia" w:ascii="仿宋" w:hAnsi="仿宋" w:eastAsia="仿宋" w:cs="仿宋"/>
                <w:sz w:val="32"/>
                <w:szCs w:val="32"/>
                <w:vertAlign w:val="baseline"/>
                <w:lang w:eastAsia="zh-CN"/>
              </w:rPr>
              <w:t>事</w:t>
            </w:r>
            <w:r>
              <w:rPr>
                <w:rFonts w:hint="eastAsia" w:ascii="仿宋" w:hAnsi="仿宋" w:eastAsia="仿宋" w:cs="仿宋"/>
                <w:sz w:val="32"/>
                <w:szCs w:val="32"/>
                <w:vertAlign w:val="baseline"/>
                <w:lang w:val="en-US" w:eastAsia="zh-CN"/>
              </w:rPr>
              <w:t xml:space="preserve">     </w:t>
            </w:r>
            <w:r>
              <w:rPr>
                <w:rFonts w:hint="eastAsia" w:ascii="仿宋" w:hAnsi="仿宋" w:eastAsia="仿宋" w:cs="仿宋"/>
                <w:sz w:val="32"/>
                <w:szCs w:val="32"/>
                <w:vertAlign w:val="baseline"/>
                <w:lang w:eastAsia="zh-CN"/>
              </w:rPr>
              <w:t>项</w:t>
            </w:r>
          </w:p>
        </w:tc>
      </w:tr>
      <w:tr w14:paraId="15365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gridSpan w:val="4"/>
          </w:tcPr>
          <w:p w14:paraId="407D2FA1">
            <w:pPr>
              <w:pStyle w:val="2"/>
              <w:spacing w:line="240" w:lineRule="auto"/>
              <w:rPr>
                <w:rFonts w:hint="eastAsia" w:ascii="仿宋" w:hAnsi="仿宋" w:eastAsia="仿宋" w:cs="仿宋"/>
                <w:sz w:val="32"/>
                <w:szCs w:val="32"/>
                <w:vertAlign w:val="baseline"/>
                <w:lang w:eastAsia="zh-CN"/>
              </w:rPr>
            </w:pPr>
          </w:p>
          <w:p w14:paraId="46A183B2">
            <w:pPr>
              <w:pStyle w:val="2"/>
              <w:spacing w:line="240" w:lineRule="auto"/>
              <w:rPr>
                <w:rFonts w:hint="eastAsia" w:ascii="仿宋" w:hAnsi="仿宋" w:eastAsia="仿宋" w:cs="仿宋"/>
                <w:sz w:val="32"/>
                <w:szCs w:val="32"/>
                <w:vertAlign w:val="baseline"/>
                <w:lang w:eastAsia="zh-CN"/>
              </w:rPr>
            </w:pPr>
          </w:p>
          <w:p w14:paraId="5CBCA54C">
            <w:pPr>
              <w:pStyle w:val="2"/>
              <w:spacing w:line="240" w:lineRule="auto"/>
              <w:rPr>
                <w:rFonts w:hint="eastAsia" w:ascii="仿宋" w:hAnsi="仿宋" w:eastAsia="仿宋" w:cs="仿宋"/>
                <w:sz w:val="32"/>
                <w:szCs w:val="32"/>
                <w:vertAlign w:val="baseline"/>
                <w:lang w:eastAsia="zh-CN"/>
              </w:rPr>
            </w:pPr>
          </w:p>
          <w:p w14:paraId="5A0E03AF">
            <w:pPr>
              <w:pStyle w:val="2"/>
              <w:spacing w:line="240" w:lineRule="auto"/>
              <w:rPr>
                <w:rFonts w:hint="eastAsia" w:ascii="仿宋" w:hAnsi="仿宋" w:eastAsia="仿宋" w:cs="仿宋"/>
                <w:sz w:val="32"/>
                <w:szCs w:val="32"/>
                <w:vertAlign w:val="baseline"/>
                <w:lang w:eastAsia="zh-CN"/>
              </w:rPr>
            </w:pPr>
          </w:p>
          <w:p w14:paraId="4556FCCF">
            <w:pPr>
              <w:pStyle w:val="2"/>
              <w:spacing w:line="240" w:lineRule="auto"/>
              <w:rPr>
                <w:rFonts w:hint="eastAsia" w:ascii="仿宋" w:hAnsi="仿宋" w:eastAsia="仿宋" w:cs="仿宋"/>
                <w:sz w:val="32"/>
                <w:szCs w:val="32"/>
                <w:vertAlign w:val="baseline"/>
                <w:lang w:eastAsia="zh-CN"/>
              </w:rPr>
            </w:pPr>
          </w:p>
          <w:p w14:paraId="244D162E">
            <w:pPr>
              <w:pStyle w:val="2"/>
              <w:spacing w:line="240" w:lineRule="auto"/>
              <w:rPr>
                <w:rFonts w:hint="eastAsia" w:ascii="仿宋" w:hAnsi="仿宋" w:eastAsia="仿宋" w:cs="仿宋"/>
                <w:sz w:val="32"/>
                <w:szCs w:val="32"/>
                <w:vertAlign w:val="baseline"/>
                <w:lang w:eastAsia="zh-CN"/>
              </w:rPr>
            </w:pPr>
          </w:p>
          <w:p w14:paraId="7A89E1FB">
            <w:pPr>
              <w:pStyle w:val="2"/>
              <w:spacing w:line="240" w:lineRule="auto"/>
              <w:rPr>
                <w:rFonts w:hint="eastAsia" w:ascii="仿宋" w:hAnsi="仿宋" w:eastAsia="仿宋" w:cs="仿宋"/>
                <w:sz w:val="32"/>
                <w:szCs w:val="32"/>
                <w:vertAlign w:val="baseline"/>
                <w:lang w:eastAsia="zh-CN"/>
              </w:rPr>
            </w:pPr>
          </w:p>
          <w:p w14:paraId="7A082BD4">
            <w:pPr>
              <w:pStyle w:val="2"/>
              <w:spacing w:line="240" w:lineRule="auto"/>
              <w:rPr>
                <w:rFonts w:hint="eastAsia" w:ascii="仿宋" w:hAnsi="仿宋" w:eastAsia="仿宋" w:cs="仿宋"/>
                <w:sz w:val="32"/>
                <w:szCs w:val="32"/>
                <w:vertAlign w:val="baseline"/>
                <w:lang w:eastAsia="zh-CN"/>
              </w:rPr>
            </w:pPr>
          </w:p>
          <w:p w14:paraId="00C9DB3B">
            <w:pPr>
              <w:pStyle w:val="2"/>
              <w:spacing w:line="240" w:lineRule="auto"/>
              <w:rPr>
                <w:rFonts w:hint="eastAsia" w:ascii="仿宋" w:hAnsi="仿宋" w:eastAsia="仿宋" w:cs="仿宋"/>
                <w:sz w:val="32"/>
                <w:szCs w:val="32"/>
                <w:vertAlign w:val="baseline"/>
                <w:lang w:eastAsia="zh-CN"/>
              </w:rPr>
            </w:pPr>
          </w:p>
          <w:p w14:paraId="5F63BE55">
            <w:pPr>
              <w:pStyle w:val="2"/>
              <w:spacing w:line="240" w:lineRule="auto"/>
              <w:rPr>
                <w:rFonts w:hint="eastAsia" w:ascii="仿宋" w:hAnsi="仿宋" w:eastAsia="仿宋" w:cs="仿宋"/>
                <w:sz w:val="32"/>
                <w:szCs w:val="32"/>
                <w:vertAlign w:val="baseline"/>
                <w:lang w:eastAsia="zh-CN"/>
              </w:rPr>
            </w:pPr>
          </w:p>
          <w:p w14:paraId="542EBF7D">
            <w:pPr>
              <w:pStyle w:val="2"/>
              <w:spacing w:line="240" w:lineRule="auto"/>
              <w:rPr>
                <w:rFonts w:hint="eastAsia" w:ascii="仿宋" w:hAnsi="仿宋" w:eastAsia="仿宋" w:cs="仿宋"/>
                <w:sz w:val="32"/>
                <w:szCs w:val="32"/>
                <w:vertAlign w:val="baseline"/>
                <w:lang w:eastAsia="zh-CN"/>
              </w:rPr>
            </w:pPr>
          </w:p>
          <w:p w14:paraId="36DD8B93">
            <w:pPr>
              <w:pStyle w:val="2"/>
              <w:spacing w:line="240" w:lineRule="auto"/>
              <w:jc w:val="right"/>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eastAsia="zh-CN"/>
              </w:rPr>
              <w:t>约谈单位：</w:t>
            </w:r>
            <w:r>
              <w:rPr>
                <w:rFonts w:hint="eastAsia" w:ascii="仿宋" w:hAnsi="仿宋" w:eastAsia="仿宋" w:cs="仿宋"/>
                <w:sz w:val="32"/>
                <w:szCs w:val="32"/>
                <w:vertAlign w:val="baseline"/>
                <w:lang w:val="en-US" w:eastAsia="zh-CN"/>
              </w:rPr>
              <w:t xml:space="preserve">               （盖章）</w:t>
            </w:r>
          </w:p>
        </w:tc>
      </w:tr>
    </w:tbl>
    <w:p w14:paraId="4312AFCE">
      <w:pPr>
        <w:keepNext w:val="0"/>
        <w:keepLines w:val="0"/>
        <w:pageBreakBefore w:val="0"/>
        <w:widowControl w:val="0"/>
        <w:kinsoku/>
        <w:wordWrap/>
        <w:overflowPunct/>
        <w:topLinePunct w:val="0"/>
        <w:autoSpaceDE/>
        <w:autoSpaceDN/>
        <w:bidi w:val="0"/>
        <w:adjustRightInd/>
        <w:snapToGrid/>
        <w:spacing w:line="240" w:lineRule="auto"/>
        <w:ind w:left="149"/>
        <w:textAlignment w:val="auto"/>
        <w:rPr>
          <w:rFonts w:hint="eastAsia" w:ascii="仿宋" w:hAnsi="仿宋" w:eastAsia="仿宋" w:cs="仿宋"/>
          <w:sz w:val="32"/>
          <w:szCs w:val="32"/>
        </w:rPr>
      </w:pPr>
      <w:r>
        <w:rPr>
          <w:rFonts w:hint="eastAsia" w:ascii="仿宋" w:hAnsi="仿宋" w:eastAsia="仿宋" w:cs="仿宋"/>
          <w:spacing w:val="3"/>
          <w:sz w:val="32"/>
          <w:szCs w:val="32"/>
        </w:rPr>
        <w:t>附件</w:t>
      </w:r>
      <w:r>
        <w:rPr>
          <w:rFonts w:hint="eastAsia" w:ascii="仿宋" w:hAnsi="仿宋" w:eastAsia="仿宋" w:cs="仿宋"/>
          <w:spacing w:val="3"/>
          <w:sz w:val="32"/>
          <w:szCs w:val="32"/>
          <w:lang w:val="en-US" w:eastAsia="zh-CN"/>
        </w:rPr>
        <w:t>2</w:t>
      </w:r>
      <w:r>
        <w:rPr>
          <w:rFonts w:hint="eastAsia" w:ascii="仿宋" w:hAnsi="仿宋" w:eastAsia="仿宋" w:cs="仿宋"/>
          <w:spacing w:val="3"/>
          <w:sz w:val="32"/>
          <w:szCs w:val="32"/>
        </w:rPr>
        <w:t>：</w:t>
      </w:r>
    </w:p>
    <w:p w14:paraId="28DD6B2E">
      <w:pPr>
        <w:pStyle w:val="2"/>
        <w:jc w:val="center"/>
        <w:rPr>
          <w:rFonts w:hint="eastAsia" w:ascii="方正小标宋_GBK" w:hAnsi="方正小标宋_GBK" w:eastAsia="方正小标宋_GBK" w:cs="方正小标宋_GBK"/>
          <w:b w:val="0"/>
          <w:bCs w:val="0"/>
          <w:spacing w:val="19"/>
          <w:sz w:val="44"/>
          <w:szCs w:val="44"/>
          <w:lang w:eastAsia="zh-CN"/>
        </w:rPr>
      </w:pPr>
      <w:r>
        <w:rPr>
          <w:rFonts w:hint="eastAsia" w:ascii="方正小标宋_GBK" w:hAnsi="方正小标宋_GBK" w:eastAsia="方正小标宋_GBK" w:cs="方正小标宋_GBK"/>
          <w:b w:val="0"/>
          <w:bCs w:val="0"/>
          <w:spacing w:val="19"/>
          <w:sz w:val="44"/>
          <w:szCs w:val="44"/>
          <w:lang w:eastAsia="zh-CN"/>
        </w:rPr>
        <w:t>东源县</w:t>
      </w:r>
      <w:r>
        <w:rPr>
          <w:rFonts w:hint="eastAsia" w:ascii="方正小标宋_GBK" w:hAnsi="方正小标宋_GBK" w:eastAsia="方正小标宋_GBK" w:cs="方正小标宋_GBK"/>
          <w:b w:val="0"/>
          <w:bCs w:val="0"/>
          <w:spacing w:val="19"/>
          <w:sz w:val="44"/>
          <w:szCs w:val="44"/>
        </w:rPr>
        <w:t>交通运输局安全生产约谈</w:t>
      </w:r>
      <w:r>
        <w:rPr>
          <w:rFonts w:hint="eastAsia" w:ascii="方正小标宋_GBK" w:hAnsi="方正小标宋_GBK" w:eastAsia="方正小标宋_GBK" w:cs="方正小标宋_GBK"/>
          <w:b w:val="0"/>
          <w:bCs w:val="0"/>
          <w:spacing w:val="19"/>
          <w:sz w:val="44"/>
          <w:szCs w:val="44"/>
          <w:lang w:eastAsia="zh-CN"/>
        </w:rPr>
        <w:t>记录</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4"/>
        <w:gridCol w:w="2265"/>
        <w:gridCol w:w="1856"/>
        <w:gridCol w:w="2266"/>
      </w:tblGrid>
      <w:tr w14:paraId="593C5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4" w:type="dxa"/>
          </w:tcPr>
          <w:p w14:paraId="5E14ADF7">
            <w:pPr>
              <w:pStyle w:val="2"/>
              <w:spacing w:line="240" w:lineRule="auto"/>
              <w:jc w:val="center"/>
              <w:rPr>
                <w:rFonts w:hint="eastAsia" w:ascii="仿宋" w:hAnsi="仿宋" w:eastAsia="仿宋" w:cs="仿宋"/>
                <w:b w:val="0"/>
                <w:bCs w:val="0"/>
                <w:spacing w:val="19"/>
                <w:sz w:val="32"/>
                <w:szCs w:val="32"/>
                <w:vertAlign w:val="baseline"/>
                <w:lang w:eastAsia="zh-CN"/>
              </w:rPr>
            </w:pPr>
            <w:r>
              <w:rPr>
                <w:rFonts w:hint="eastAsia" w:ascii="仿宋" w:hAnsi="仿宋" w:eastAsia="仿宋" w:cs="仿宋"/>
                <w:b w:val="0"/>
                <w:bCs w:val="0"/>
                <w:spacing w:val="19"/>
                <w:sz w:val="32"/>
                <w:szCs w:val="32"/>
                <w:vertAlign w:val="baseline"/>
                <w:lang w:eastAsia="zh-CN"/>
              </w:rPr>
              <w:t>约谈人</w:t>
            </w:r>
          </w:p>
        </w:tc>
        <w:tc>
          <w:tcPr>
            <w:tcW w:w="6387" w:type="dxa"/>
            <w:gridSpan w:val="3"/>
          </w:tcPr>
          <w:p w14:paraId="534970C5">
            <w:pPr>
              <w:pStyle w:val="2"/>
              <w:spacing w:line="240" w:lineRule="auto"/>
              <w:jc w:val="center"/>
              <w:rPr>
                <w:rFonts w:hint="eastAsia" w:ascii="仿宋" w:hAnsi="仿宋" w:eastAsia="仿宋" w:cs="仿宋"/>
                <w:b w:val="0"/>
                <w:bCs w:val="0"/>
                <w:spacing w:val="19"/>
                <w:sz w:val="32"/>
                <w:szCs w:val="32"/>
                <w:vertAlign w:val="baseline"/>
                <w:lang w:eastAsia="zh-CN"/>
              </w:rPr>
            </w:pPr>
          </w:p>
        </w:tc>
      </w:tr>
      <w:tr w14:paraId="1C636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4" w:type="dxa"/>
          </w:tcPr>
          <w:p w14:paraId="356325A6">
            <w:pPr>
              <w:pStyle w:val="2"/>
              <w:spacing w:line="240" w:lineRule="auto"/>
              <w:jc w:val="center"/>
              <w:rPr>
                <w:rFonts w:hint="eastAsia" w:ascii="仿宋" w:hAnsi="仿宋" w:eastAsia="仿宋" w:cs="仿宋"/>
                <w:b w:val="0"/>
                <w:bCs w:val="0"/>
                <w:spacing w:val="19"/>
                <w:sz w:val="32"/>
                <w:szCs w:val="32"/>
                <w:vertAlign w:val="baseline"/>
                <w:lang w:eastAsia="zh-CN"/>
              </w:rPr>
            </w:pPr>
            <w:r>
              <w:rPr>
                <w:rFonts w:hint="eastAsia" w:ascii="仿宋" w:hAnsi="仿宋" w:eastAsia="仿宋" w:cs="仿宋"/>
                <w:b w:val="0"/>
                <w:bCs w:val="0"/>
                <w:spacing w:val="19"/>
                <w:sz w:val="32"/>
                <w:szCs w:val="32"/>
                <w:vertAlign w:val="baseline"/>
                <w:lang w:eastAsia="zh-CN"/>
              </w:rPr>
              <w:t>参加约谈单位</w:t>
            </w:r>
          </w:p>
        </w:tc>
        <w:tc>
          <w:tcPr>
            <w:tcW w:w="6387" w:type="dxa"/>
            <w:gridSpan w:val="3"/>
          </w:tcPr>
          <w:p w14:paraId="14B6A35E">
            <w:pPr>
              <w:pStyle w:val="2"/>
              <w:spacing w:line="240" w:lineRule="auto"/>
              <w:jc w:val="center"/>
              <w:rPr>
                <w:rFonts w:hint="eastAsia" w:ascii="仿宋" w:hAnsi="仿宋" w:eastAsia="仿宋" w:cs="仿宋"/>
                <w:b w:val="0"/>
                <w:bCs w:val="0"/>
                <w:spacing w:val="19"/>
                <w:sz w:val="32"/>
                <w:szCs w:val="32"/>
                <w:vertAlign w:val="baseline"/>
                <w:lang w:eastAsia="zh-CN"/>
              </w:rPr>
            </w:pPr>
          </w:p>
        </w:tc>
      </w:tr>
      <w:tr w14:paraId="1D4C9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4" w:type="dxa"/>
          </w:tcPr>
          <w:p w14:paraId="7C8E3F4A">
            <w:pPr>
              <w:pStyle w:val="2"/>
              <w:spacing w:line="240" w:lineRule="auto"/>
              <w:jc w:val="center"/>
              <w:rPr>
                <w:rFonts w:hint="eastAsia" w:ascii="仿宋" w:hAnsi="仿宋" w:eastAsia="仿宋" w:cs="仿宋"/>
                <w:b w:val="0"/>
                <w:bCs w:val="0"/>
                <w:spacing w:val="19"/>
                <w:sz w:val="32"/>
                <w:szCs w:val="32"/>
                <w:vertAlign w:val="baseline"/>
                <w:lang w:eastAsia="zh-CN"/>
              </w:rPr>
            </w:pPr>
            <w:r>
              <w:rPr>
                <w:rFonts w:hint="eastAsia" w:ascii="仿宋" w:hAnsi="仿宋" w:eastAsia="仿宋" w:cs="仿宋"/>
                <w:b w:val="0"/>
                <w:bCs w:val="0"/>
                <w:spacing w:val="19"/>
                <w:sz w:val="32"/>
                <w:szCs w:val="32"/>
                <w:vertAlign w:val="baseline"/>
                <w:lang w:eastAsia="zh-CN"/>
              </w:rPr>
              <w:t>被约谈单位</w:t>
            </w:r>
          </w:p>
        </w:tc>
        <w:tc>
          <w:tcPr>
            <w:tcW w:w="6387" w:type="dxa"/>
            <w:gridSpan w:val="3"/>
          </w:tcPr>
          <w:p w14:paraId="3922C8CD">
            <w:pPr>
              <w:pStyle w:val="2"/>
              <w:spacing w:line="240" w:lineRule="auto"/>
              <w:jc w:val="center"/>
              <w:rPr>
                <w:rFonts w:hint="eastAsia" w:ascii="仿宋" w:hAnsi="仿宋" w:eastAsia="仿宋" w:cs="仿宋"/>
                <w:b w:val="0"/>
                <w:bCs w:val="0"/>
                <w:spacing w:val="19"/>
                <w:sz w:val="32"/>
                <w:szCs w:val="32"/>
                <w:vertAlign w:val="baseline"/>
                <w:lang w:eastAsia="zh-CN"/>
              </w:rPr>
            </w:pPr>
          </w:p>
        </w:tc>
      </w:tr>
      <w:tr w14:paraId="4FADD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4" w:type="dxa"/>
          </w:tcPr>
          <w:p w14:paraId="673BC2F1">
            <w:pPr>
              <w:pStyle w:val="2"/>
              <w:spacing w:line="240" w:lineRule="auto"/>
              <w:jc w:val="center"/>
              <w:rPr>
                <w:rFonts w:hint="eastAsia" w:ascii="仿宋" w:hAnsi="仿宋" w:eastAsia="仿宋" w:cs="仿宋"/>
                <w:b w:val="0"/>
                <w:bCs w:val="0"/>
                <w:spacing w:val="19"/>
                <w:sz w:val="32"/>
                <w:szCs w:val="32"/>
                <w:vertAlign w:val="baseline"/>
                <w:lang w:eastAsia="zh-CN"/>
              </w:rPr>
            </w:pPr>
            <w:r>
              <w:rPr>
                <w:rFonts w:hint="eastAsia" w:ascii="仿宋" w:hAnsi="仿宋" w:eastAsia="仿宋" w:cs="仿宋"/>
                <w:b w:val="0"/>
                <w:bCs w:val="0"/>
                <w:spacing w:val="19"/>
                <w:sz w:val="32"/>
                <w:szCs w:val="32"/>
                <w:vertAlign w:val="baseline"/>
                <w:lang w:eastAsia="zh-CN"/>
              </w:rPr>
              <w:t>被约谈人</w:t>
            </w:r>
          </w:p>
        </w:tc>
        <w:tc>
          <w:tcPr>
            <w:tcW w:w="6387" w:type="dxa"/>
            <w:gridSpan w:val="3"/>
          </w:tcPr>
          <w:p w14:paraId="0EC676AE">
            <w:pPr>
              <w:pStyle w:val="2"/>
              <w:spacing w:line="240" w:lineRule="auto"/>
              <w:jc w:val="center"/>
              <w:rPr>
                <w:rFonts w:hint="eastAsia" w:ascii="仿宋" w:hAnsi="仿宋" w:eastAsia="仿宋" w:cs="仿宋"/>
                <w:b w:val="0"/>
                <w:bCs w:val="0"/>
                <w:spacing w:val="19"/>
                <w:sz w:val="32"/>
                <w:szCs w:val="32"/>
                <w:vertAlign w:val="baseline"/>
                <w:lang w:eastAsia="zh-CN"/>
              </w:rPr>
            </w:pPr>
          </w:p>
        </w:tc>
      </w:tr>
      <w:tr w14:paraId="01DD3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4" w:type="dxa"/>
          </w:tcPr>
          <w:p w14:paraId="0D968976">
            <w:pPr>
              <w:pStyle w:val="2"/>
              <w:spacing w:line="240" w:lineRule="auto"/>
              <w:jc w:val="center"/>
              <w:rPr>
                <w:rFonts w:hint="eastAsia" w:ascii="仿宋" w:hAnsi="仿宋" w:eastAsia="仿宋" w:cs="仿宋"/>
                <w:b w:val="0"/>
                <w:bCs w:val="0"/>
                <w:spacing w:val="19"/>
                <w:sz w:val="32"/>
                <w:szCs w:val="32"/>
                <w:vertAlign w:val="baseline"/>
                <w:lang w:eastAsia="zh-CN"/>
              </w:rPr>
            </w:pPr>
            <w:r>
              <w:rPr>
                <w:rFonts w:hint="eastAsia" w:ascii="仿宋" w:hAnsi="仿宋" w:eastAsia="仿宋" w:cs="仿宋"/>
                <w:b w:val="0"/>
                <w:bCs w:val="0"/>
                <w:spacing w:val="19"/>
                <w:sz w:val="32"/>
                <w:szCs w:val="32"/>
                <w:vertAlign w:val="baseline"/>
                <w:lang w:eastAsia="zh-CN"/>
              </w:rPr>
              <w:t>约谈地点</w:t>
            </w:r>
          </w:p>
        </w:tc>
        <w:tc>
          <w:tcPr>
            <w:tcW w:w="2265" w:type="dxa"/>
          </w:tcPr>
          <w:p w14:paraId="4D71DCCD">
            <w:pPr>
              <w:pStyle w:val="2"/>
              <w:spacing w:line="240" w:lineRule="auto"/>
              <w:jc w:val="center"/>
              <w:rPr>
                <w:rFonts w:hint="eastAsia" w:ascii="仿宋" w:hAnsi="仿宋" w:eastAsia="仿宋" w:cs="仿宋"/>
                <w:b w:val="0"/>
                <w:bCs w:val="0"/>
                <w:spacing w:val="19"/>
                <w:sz w:val="32"/>
                <w:szCs w:val="32"/>
                <w:vertAlign w:val="baseline"/>
                <w:lang w:eastAsia="zh-CN"/>
              </w:rPr>
            </w:pPr>
          </w:p>
        </w:tc>
        <w:tc>
          <w:tcPr>
            <w:tcW w:w="1856" w:type="dxa"/>
          </w:tcPr>
          <w:p w14:paraId="47127AC7">
            <w:pPr>
              <w:pStyle w:val="2"/>
              <w:spacing w:line="240" w:lineRule="auto"/>
              <w:jc w:val="center"/>
              <w:rPr>
                <w:rFonts w:hint="eastAsia" w:ascii="仿宋" w:hAnsi="仿宋" w:eastAsia="仿宋" w:cs="仿宋"/>
                <w:b w:val="0"/>
                <w:bCs w:val="0"/>
                <w:spacing w:val="19"/>
                <w:sz w:val="32"/>
                <w:szCs w:val="32"/>
                <w:vertAlign w:val="baseline"/>
                <w:lang w:eastAsia="zh-CN"/>
              </w:rPr>
            </w:pPr>
            <w:r>
              <w:rPr>
                <w:rFonts w:hint="eastAsia" w:ascii="仿宋" w:hAnsi="仿宋" w:eastAsia="仿宋" w:cs="仿宋"/>
                <w:b w:val="0"/>
                <w:bCs w:val="0"/>
                <w:spacing w:val="19"/>
                <w:sz w:val="32"/>
                <w:szCs w:val="32"/>
                <w:vertAlign w:val="baseline"/>
                <w:lang w:eastAsia="zh-CN"/>
              </w:rPr>
              <w:t>约谈时间</w:t>
            </w:r>
          </w:p>
        </w:tc>
        <w:tc>
          <w:tcPr>
            <w:tcW w:w="2266" w:type="dxa"/>
          </w:tcPr>
          <w:p w14:paraId="04577D03">
            <w:pPr>
              <w:pStyle w:val="2"/>
              <w:spacing w:line="240" w:lineRule="auto"/>
              <w:jc w:val="center"/>
              <w:rPr>
                <w:rFonts w:hint="eastAsia" w:ascii="仿宋" w:hAnsi="仿宋" w:eastAsia="仿宋" w:cs="仿宋"/>
                <w:b w:val="0"/>
                <w:bCs w:val="0"/>
                <w:spacing w:val="19"/>
                <w:sz w:val="32"/>
                <w:szCs w:val="32"/>
                <w:vertAlign w:val="baseline"/>
                <w:lang w:eastAsia="zh-CN"/>
              </w:rPr>
            </w:pPr>
          </w:p>
        </w:tc>
      </w:tr>
      <w:tr w14:paraId="49AE7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4" w:type="dxa"/>
          </w:tcPr>
          <w:p w14:paraId="50910FD2">
            <w:pPr>
              <w:pStyle w:val="2"/>
              <w:spacing w:line="240" w:lineRule="auto"/>
              <w:jc w:val="center"/>
              <w:rPr>
                <w:rFonts w:hint="eastAsia" w:ascii="仿宋" w:hAnsi="仿宋" w:eastAsia="仿宋" w:cs="仿宋"/>
                <w:b w:val="0"/>
                <w:bCs w:val="0"/>
                <w:spacing w:val="19"/>
                <w:sz w:val="32"/>
                <w:szCs w:val="32"/>
                <w:vertAlign w:val="baseline"/>
                <w:lang w:eastAsia="zh-CN"/>
              </w:rPr>
            </w:pPr>
            <w:r>
              <w:rPr>
                <w:rFonts w:hint="eastAsia" w:ascii="仿宋" w:hAnsi="仿宋" w:eastAsia="仿宋" w:cs="仿宋"/>
                <w:b w:val="0"/>
                <w:bCs w:val="0"/>
                <w:spacing w:val="19"/>
                <w:sz w:val="32"/>
                <w:szCs w:val="32"/>
                <w:vertAlign w:val="baseline"/>
                <w:lang w:eastAsia="zh-CN"/>
              </w:rPr>
              <w:t>约谈事项</w:t>
            </w:r>
          </w:p>
        </w:tc>
        <w:tc>
          <w:tcPr>
            <w:tcW w:w="2265" w:type="dxa"/>
          </w:tcPr>
          <w:p w14:paraId="1EDD3701">
            <w:pPr>
              <w:pStyle w:val="2"/>
              <w:spacing w:line="240" w:lineRule="auto"/>
              <w:jc w:val="center"/>
              <w:rPr>
                <w:rFonts w:hint="eastAsia" w:ascii="仿宋" w:hAnsi="仿宋" w:eastAsia="仿宋" w:cs="仿宋"/>
                <w:b w:val="0"/>
                <w:bCs w:val="0"/>
                <w:spacing w:val="19"/>
                <w:sz w:val="32"/>
                <w:szCs w:val="32"/>
                <w:vertAlign w:val="baseline"/>
                <w:lang w:eastAsia="zh-CN"/>
              </w:rPr>
            </w:pPr>
          </w:p>
        </w:tc>
        <w:tc>
          <w:tcPr>
            <w:tcW w:w="1856" w:type="dxa"/>
          </w:tcPr>
          <w:p w14:paraId="2E762C31">
            <w:pPr>
              <w:pStyle w:val="2"/>
              <w:spacing w:line="240" w:lineRule="auto"/>
              <w:jc w:val="center"/>
              <w:rPr>
                <w:rFonts w:hint="eastAsia" w:ascii="仿宋" w:hAnsi="仿宋" w:eastAsia="仿宋" w:cs="仿宋"/>
                <w:b w:val="0"/>
                <w:bCs w:val="0"/>
                <w:spacing w:val="19"/>
                <w:sz w:val="32"/>
                <w:szCs w:val="32"/>
                <w:vertAlign w:val="baseline"/>
                <w:lang w:eastAsia="zh-CN"/>
              </w:rPr>
            </w:pPr>
            <w:r>
              <w:rPr>
                <w:rFonts w:hint="eastAsia" w:ascii="仿宋" w:hAnsi="仿宋" w:eastAsia="仿宋" w:cs="仿宋"/>
                <w:b w:val="0"/>
                <w:bCs w:val="0"/>
                <w:spacing w:val="19"/>
                <w:sz w:val="32"/>
                <w:szCs w:val="32"/>
                <w:vertAlign w:val="baseline"/>
                <w:lang w:eastAsia="zh-CN"/>
              </w:rPr>
              <w:t>记录人</w:t>
            </w:r>
          </w:p>
        </w:tc>
        <w:tc>
          <w:tcPr>
            <w:tcW w:w="2266" w:type="dxa"/>
          </w:tcPr>
          <w:p w14:paraId="153C0F69">
            <w:pPr>
              <w:pStyle w:val="2"/>
              <w:spacing w:line="240" w:lineRule="auto"/>
              <w:jc w:val="center"/>
              <w:rPr>
                <w:rFonts w:hint="eastAsia" w:ascii="仿宋" w:hAnsi="仿宋" w:eastAsia="仿宋" w:cs="仿宋"/>
                <w:b w:val="0"/>
                <w:bCs w:val="0"/>
                <w:spacing w:val="19"/>
                <w:sz w:val="32"/>
                <w:szCs w:val="32"/>
                <w:vertAlign w:val="baseline"/>
                <w:lang w:eastAsia="zh-CN"/>
              </w:rPr>
            </w:pPr>
          </w:p>
        </w:tc>
      </w:tr>
      <w:tr w14:paraId="0C8BD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gridSpan w:val="4"/>
          </w:tcPr>
          <w:p w14:paraId="2BAEF651">
            <w:pPr>
              <w:pStyle w:val="2"/>
              <w:spacing w:line="240" w:lineRule="auto"/>
              <w:jc w:val="left"/>
              <w:rPr>
                <w:rFonts w:hint="eastAsia" w:ascii="仿宋" w:hAnsi="仿宋" w:eastAsia="仿宋" w:cs="仿宋"/>
                <w:b w:val="0"/>
                <w:bCs w:val="0"/>
                <w:spacing w:val="19"/>
                <w:sz w:val="32"/>
                <w:szCs w:val="32"/>
                <w:vertAlign w:val="baseline"/>
                <w:lang w:eastAsia="zh-CN"/>
              </w:rPr>
            </w:pPr>
            <w:r>
              <w:rPr>
                <w:rFonts w:hint="eastAsia" w:ascii="仿宋" w:hAnsi="仿宋" w:eastAsia="仿宋" w:cs="仿宋"/>
                <w:b w:val="0"/>
                <w:bCs w:val="0"/>
                <w:spacing w:val="19"/>
                <w:sz w:val="32"/>
                <w:szCs w:val="32"/>
                <w:vertAlign w:val="baseline"/>
                <w:lang w:eastAsia="zh-CN"/>
              </w:rPr>
              <w:t>约谈记录：</w:t>
            </w:r>
          </w:p>
          <w:p w14:paraId="3EDBBE26">
            <w:pPr>
              <w:pStyle w:val="2"/>
              <w:spacing w:line="240" w:lineRule="auto"/>
              <w:jc w:val="left"/>
              <w:rPr>
                <w:rFonts w:hint="eastAsia" w:ascii="仿宋" w:hAnsi="仿宋" w:eastAsia="仿宋" w:cs="仿宋"/>
                <w:b w:val="0"/>
                <w:bCs w:val="0"/>
                <w:spacing w:val="19"/>
                <w:sz w:val="32"/>
                <w:szCs w:val="32"/>
                <w:vertAlign w:val="baseline"/>
                <w:lang w:eastAsia="zh-CN"/>
              </w:rPr>
            </w:pPr>
          </w:p>
          <w:p w14:paraId="63E8E9E2">
            <w:pPr>
              <w:pStyle w:val="2"/>
              <w:spacing w:line="240" w:lineRule="auto"/>
              <w:jc w:val="left"/>
              <w:rPr>
                <w:rFonts w:hint="eastAsia" w:ascii="仿宋" w:hAnsi="仿宋" w:eastAsia="仿宋" w:cs="仿宋"/>
                <w:b w:val="0"/>
                <w:bCs w:val="0"/>
                <w:spacing w:val="19"/>
                <w:sz w:val="32"/>
                <w:szCs w:val="32"/>
                <w:vertAlign w:val="baseline"/>
                <w:lang w:eastAsia="zh-CN"/>
              </w:rPr>
            </w:pPr>
          </w:p>
          <w:p w14:paraId="44581A8B">
            <w:pPr>
              <w:pStyle w:val="2"/>
              <w:spacing w:line="240" w:lineRule="auto"/>
              <w:jc w:val="left"/>
              <w:rPr>
                <w:rFonts w:hint="eastAsia" w:ascii="仿宋" w:hAnsi="仿宋" w:eastAsia="仿宋" w:cs="仿宋"/>
                <w:b w:val="0"/>
                <w:bCs w:val="0"/>
                <w:spacing w:val="19"/>
                <w:sz w:val="32"/>
                <w:szCs w:val="32"/>
                <w:vertAlign w:val="baseline"/>
                <w:lang w:eastAsia="zh-CN"/>
              </w:rPr>
            </w:pPr>
          </w:p>
          <w:p w14:paraId="304695DE">
            <w:pPr>
              <w:pStyle w:val="2"/>
              <w:spacing w:line="240" w:lineRule="auto"/>
              <w:jc w:val="left"/>
              <w:rPr>
                <w:rFonts w:hint="eastAsia" w:ascii="仿宋" w:hAnsi="仿宋" w:eastAsia="仿宋" w:cs="仿宋"/>
                <w:b w:val="0"/>
                <w:bCs w:val="0"/>
                <w:spacing w:val="19"/>
                <w:sz w:val="32"/>
                <w:szCs w:val="32"/>
                <w:vertAlign w:val="baseline"/>
                <w:lang w:eastAsia="zh-CN"/>
              </w:rPr>
            </w:pPr>
          </w:p>
          <w:p w14:paraId="3BF2B62D">
            <w:pPr>
              <w:pStyle w:val="2"/>
              <w:spacing w:line="240" w:lineRule="auto"/>
              <w:jc w:val="left"/>
              <w:rPr>
                <w:rFonts w:hint="eastAsia" w:ascii="仿宋" w:hAnsi="仿宋" w:eastAsia="仿宋" w:cs="仿宋"/>
                <w:b w:val="0"/>
                <w:bCs w:val="0"/>
                <w:spacing w:val="19"/>
                <w:sz w:val="32"/>
                <w:szCs w:val="32"/>
                <w:vertAlign w:val="baseline"/>
                <w:lang w:eastAsia="zh-CN"/>
              </w:rPr>
            </w:pPr>
          </w:p>
          <w:p w14:paraId="1CEA4B06">
            <w:pPr>
              <w:pStyle w:val="2"/>
              <w:spacing w:line="240" w:lineRule="auto"/>
              <w:jc w:val="left"/>
              <w:rPr>
                <w:rFonts w:hint="eastAsia" w:ascii="仿宋" w:hAnsi="仿宋" w:eastAsia="仿宋" w:cs="仿宋"/>
                <w:b w:val="0"/>
                <w:bCs w:val="0"/>
                <w:spacing w:val="19"/>
                <w:sz w:val="32"/>
                <w:szCs w:val="32"/>
                <w:vertAlign w:val="baseline"/>
                <w:lang w:eastAsia="zh-CN"/>
              </w:rPr>
            </w:pPr>
          </w:p>
          <w:p w14:paraId="49041967">
            <w:pPr>
              <w:pStyle w:val="2"/>
              <w:spacing w:line="240" w:lineRule="auto"/>
              <w:jc w:val="left"/>
              <w:rPr>
                <w:rFonts w:hint="eastAsia" w:ascii="仿宋" w:hAnsi="仿宋" w:eastAsia="仿宋" w:cs="仿宋"/>
                <w:b w:val="0"/>
                <w:bCs w:val="0"/>
                <w:spacing w:val="19"/>
                <w:sz w:val="32"/>
                <w:szCs w:val="32"/>
                <w:vertAlign w:val="baseline"/>
                <w:lang w:eastAsia="zh-CN"/>
              </w:rPr>
            </w:pPr>
          </w:p>
          <w:p w14:paraId="388B7D1B">
            <w:pPr>
              <w:pStyle w:val="2"/>
              <w:spacing w:line="240" w:lineRule="auto"/>
              <w:jc w:val="left"/>
              <w:rPr>
                <w:rFonts w:hint="eastAsia" w:ascii="仿宋" w:hAnsi="仿宋" w:eastAsia="仿宋" w:cs="仿宋"/>
                <w:b w:val="0"/>
                <w:bCs w:val="0"/>
                <w:spacing w:val="19"/>
                <w:sz w:val="32"/>
                <w:szCs w:val="32"/>
                <w:vertAlign w:val="baseline"/>
                <w:lang w:eastAsia="zh-CN"/>
              </w:rPr>
            </w:pPr>
          </w:p>
          <w:p w14:paraId="699A4FD7">
            <w:pPr>
              <w:pStyle w:val="2"/>
              <w:spacing w:line="240" w:lineRule="auto"/>
              <w:jc w:val="left"/>
              <w:rPr>
                <w:rFonts w:hint="eastAsia" w:ascii="仿宋" w:hAnsi="仿宋" w:eastAsia="仿宋" w:cs="仿宋"/>
                <w:b w:val="0"/>
                <w:bCs w:val="0"/>
                <w:spacing w:val="19"/>
                <w:sz w:val="32"/>
                <w:szCs w:val="32"/>
                <w:vertAlign w:val="baseline"/>
                <w:lang w:eastAsia="zh-CN"/>
              </w:rPr>
            </w:pPr>
          </w:p>
          <w:p w14:paraId="0193F328">
            <w:pPr>
              <w:pStyle w:val="2"/>
              <w:spacing w:line="240" w:lineRule="auto"/>
              <w:jc w:val="left"/>
              <w:rPr>
                <w:rFonts w:hint="eastAsia" w:ascii="仿宋" w:hAnsi="仿宋" w:eastAsia="仿宋" w:cs="仿宋"/>
                <w:b w:val="0"/>
                <w:bCs w:val="0"/>
                <w:spacing w:val="19"/>
                <w:sz w:val="32"/>
                <w:szCs w:val="32"/>
                <w:vertAlign w:val="baseline"/>
                <w:lang w:eastAsia="zh-CN"/>
              </w:rPr>
            </w:pPr>
          </w:p>
          <w:p w14:paraId="3C61297A">
            <w:pPr>
              <w:pStyle w:val="2"/>
              <w:spacing w:line="240" w:lineRule="auto"/>
              <w:jc w:val="left"/>
              <w:rPr>
                <w:rFonts w:hint="eastAsia" w:ascii="仿宋" w:hAnsi="仿宋" w:eastAsia="仿宋" w:cs="仿宋"/>
                <w:b w:val="0"/>
                <w:bCs w:val="0"/>
                <w:spacing w:val="19"/>
                <w:sz w:val="32"/>
                <w:szCs w:val="32"/>
                <w:vertAlign w:val="baseline"/>
                <w:lang w:eastAsia="zh-CN"/>
              </w:rPr>
            </w:pPr>
          </w:p>
        </w:tc>
      </w:tr>
    </w:tbl>
    <w:p w14:paraId="58554E0B">
      <w:pPr>
        <w:pStyle w:val="2"/>
        <w:spacing w:line="240" w:lineRule="auto"/>
        <w:jc w:val="left"/>
        <w:rPr>
          <w:rFonts w:hint="eastAsia" w:ascii="方正小标宋_GBK" w:hAnsi="方正小标宋_GBK" w:eastAsia="方正小标宋_GBK" w:cs="方正小标宋_GBK"/>
          <w:b w:val="0"/>
          <w:bCs w:val="0"/>
          <w:spacing w:val="19"/>
          <w:sz w:val="44"/>
          <w:szCs w:val="44"/>
          <w:lang w:eastAsia="zh-CN"/>
        </w:rPr>
      </w:pPr>
    </w:p>
    <w:sectPr>
      <w:footerReference r:id="rId3" w:type="default"/>
      <w:pgSz w:w="11906" w:h="16838"/>
      <w:pgMar w:top="2098" w:right="1474" w:bottom="1531"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embedRegular r:id="rId1" w:fontKey="{AD452CAD-F5DB-4EB3-A214-94E7F4F8E7BC}"/>
  </w:font>
  <w:font w:name="方正小标宋_GBK">
    <w:panose1 w:val="02000000000000000000"/>
    <w:charset w:val="86"/>
    <w:family w:val="script"/>
    <w:pitch w:val="default"/>
    <w:sig w:usb0="00000001" w:usb1="080E0000" w:usb2="00000000" w:usb3="00000000" w:csb0="00040000" w:csb1="00000000"/>
    <w:embedRegular r:id="rId2" w:fontKey="{CEA6B09B-6615-4413-91A0-FE5222738162}"/>
  </w:font>
  <w:font w:name="方正黑体_GBK">
    <w:panose1 w:val="03000509000000000000"/>
    <w:charset w:val="86"/>
    <w:family w:val="auto"/>
    <w:pitch w:val="default"/>
    <w:sig w:usb0="00000001" w:usb1="080E0000" w:usb2="00000000" w:usb3="00000000" w:csb0="00040000" w:csb1="00000000"/>
    <w:embedRegular r:id="rId3" w:fontKey="{8A12A365-EABF-4B35-A61B-F1EF062FDE81}"/>
  </w:font>
  <w:font w:name="方正楷体_GBK">
    <w:panose1 w:val="03000509000000000000"/>
    <w:charset w:val="86"/>
    <w:family w:val="auto"/>
    <w:pitch w:val="default"/>
    <w:sig w:usb0="00000001" w:usb1="080E0000" w:usb2="00000000" w:usb3="00000000" w:csb0="0004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embedRegular r:id="rId4" w:fontKey="{513A8593-8C6D-43C4-8782-6DA5CFCEEBFD}"/>
  </w:font>
  <w:font w:name="仿宋">
    <w:panose1 w:val="02010609060101010101"/>
    <w:charset w:val="86"/>
    <w:family w:val="auto"/>
    <w:pitch w:val="default"/>
    <w:sig w:usb0="800002BF" w:usb1="38CF7CFA" w:usb2="00000016" w:usb3="00000000" w:csb0="00040001" w:csb1="00000000"/>
    <w:embedRegular r:id="rId5" w:fontKey="{8A5D332E-28DF-4B1A-BDCD-C46E9CB3C93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15225">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4DD14A">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C4DD14A">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5NDYwMGQxYThjZTdmNDkwODc2MWU5YjBhMzAzMzIifQ=="/>
  </w:docVars>
  <w:rsids>
    <w:rsidRoot w:val="33916ED6"/>
    <w:rsid w:val="016C00FD"/>
    <w:rsid w:val="02534E6D"/>
    <w:rsid w:val="10E65BE8"/>
    <w:rsid w:val="173636B0"/>
    <w:rsid w:val="1844082B"/>
    <w:rsid w:val="1CF13C5D"/>
    <w:rsid w:val="2B3206DF"/>
    <w:rsid w:val="2D575429"/>
    <w:rsid w:val="2E5022E8"/>
    <w:rsid w:val="33916ED6"/>
    <w:rsid w:val="373F44A3"/>
    <w:rsid w:val="3E830663"/>
    <w:rsid w:val="405F2AC8"/>
    <w:rsid w:val="41C834ED"/>
    <w:rsid w:val="4DA81276"/>
    <w:rsid w:val="53AC182B"/>
    <w:rsid w:val="55FE0AE6"/>
    <w:rsid w:val="623F7C29"/>
    <w:rsid w:val="664A6BC4"/>
    <w:rsid w:val="67AE7C72"/>
    <w:rsid w:val="720553A9"/>
    <w:rsid w:val="742720BF"/>
    <w:rsid w:val="74FE05F0"/>
    <w:rsid w:val="7CDA1D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Text"/>
    <w:basedOn w:val="1"/>
    <w:autoRedefine/>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3660</Words>
  <Characters>3678</Characters>
  <Lines>0</Lines>
  <Paragraphs>0</Paragraphs>
  <TotalTime>1</TotalTime>
  <ScaleCrop>false</ScaleCrop>
  <LinksUpToDate>false</LinksUpToDate>
  <CharactersWithSpaces>3749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2022-04-22T07:11:00Z</dcterms:created>
  <dc:creator>ＦＬｙ</dc:creator>
  <cp:lastModifiedBy>赖文帆</cp:lastModifiedBy>
  <dcterms:modified xsi:type="dcterms:W3CDTF">2024-07-16T01:41:45Z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KSOSaveFontToCloudKey">
    <vt:lpwstr>191931038_btnclosed</vt:lpwstr>
  </property>
  <property fmtid="{D5CDD505-2E9C-101B-9397-08002B2CF9AE}" pid="4" name="ICV">
    <vt:lpwstr>25BC50EB9C294D99A2227378281F18A7_13</vt:lpwstr>
  </property>
</Properties>
</file>