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B50100">
      <w:pPr>
        <w:pStyle w:val="5"/>
        <w:bidi w:val="0"/>
        <w:jc w:val="center"/>
        <w:rPr>
          <w:rFonts w:hint="eastAsia"/>
          <w:lang w:val="en-US" w:eastAsia="zh-CN"/>
        </w:rPr>
      </w:pPr>
      <w:bookmarkStart w:id="0" w:name="_Toc458"/>
      <w:bookmarkStart w:id="1" w:name="_Toc8433"/>
      <w:r>
        <w:rPr>
          <w:rFonts w:hint="eastAsia"/>
          <w:lang w:val="en-US" w:eastAsia="zh-CN"/>
        </w:rPr>
        <w:t>东源县关于支持网络微短剧创作、生产和传播的工作举措（试行）</w:t>
      </w:r>
      <w:bookmarkEnd w:id="0"/>
      <w:bookmarkEnd w:id="1"/>
      <w:r>
        <w:rPr>
          <w:rFonts w:hint="eastAsia"/>
          <w:lang w:val="en-US" w:eastAsia="zh-CN"/>
        </w:rPr>
        <w:t>（征求意见稿）</w:t>
      </w:r>
    </w:p>
    <w:p w14:paraId="5F2032F7">
      <w:pPr>
        <w:spacing w:after="93" w:afterLines="30" w:line="480" w:lineRule="exact"/>
        <w:ind w:firstLine="602" w:firstLineChars="200"/>
        <w:rPr>
          <w:rFonts w:hint="eastAsia" w:ascii="仿宋_GB2312" w:hAnsi="仿宋_GB2312" w:eastAsia="仿宋_GB2312" w:cs="仿宋_GB2312"/>
          <w:color w:val="000000" w:themeColor="text1"/>
          <w:sz w:val="30"/>
          <w:szCs w:val="30"/>
          <w:highlight w:val="none"/>
          <w:lang w:eastAsia="zh-CN"/>
          <w14:textFill>
            <w14:solidFill>
              <w14:schemeClr w14:val="tx1"/>
            </w14:solidFill>
          </w14:textFill>
        </w:rPr>
      </w:pPr>
      <w:r>
        <w:rPr>
          <w:rFonts w:hint="eastAsia" w:ascii="仿宋_GB2312" w:hAnsi="仿宋_GB2312" w:eastAsia="仿宋_GB2312" w:cs="仿宋_GB2312"/>
          <w:b/>
          <w:bCs/>
          <w:color w:val="000000" w:themeColor="text1"/>
          <w:sz w:val="30"/>
          <w:szCs w:val="30"/>
          <w:highlight w:val="none"/>
          <w14:textFill>
            <w14:solidFill>
              <w14:schemeClr w14:val="tx1"/>
            </w14:solidFill>
          </w14:textFill>
        </w:rPr>
        <w:t>第</w:t>
      </w:r>
      <w:r>
        <w:rPr>
          <w:rFonts w:hint="eastAsia" w:ascii="仿宋_GB2312" w:hAnsi="仿宋_GB2312" w:eastAsia="仿宋_GB2312" w:cs="仿宋_GB2312"/>
          <w:b/>
          <w:bCs/>
          <w:color w:val="000000" w:themeColor="text1"/>
          <w:sz w:val="30"/>
          <w:szCs w:val="30"/>
          <w:highlight w:val="none"/>
          <w:lang w:val="en-US" w:eastAsia="zh-CN"/>
          <w14:textFill>
            <w14:solidFill>
              <w14:schemeClr w14:val="tx1"/>
            </w14:solidFill>
          </w14:textFill>
        </w:rPr>
        <w:t>一</w:t>
      </w:r>
      <w:r>
        <w:rPr>
          <w:rFonts w:hint="eastAsia" w:ascii="仿宋_GB2312" w:hAnsi="仿宋_GB2312" w:eastAsia="仿宋_GB2312" w:cs="仿宋_GB2312"/>
          <w:b/>
          <w:bCs/>
          <w:color w:val="000000" w:themeColor="text1"/>
          <w:sz w:val="30"/>
          <w:szCs w:val="30"/>
          <w:highlight w:val="none"/>
          <w14:textFill>
            <w14:solidFill>
              <w14:schemeClr w14:val="tx1"/>
            </w14:solidFill>
          </w14:textFill>
        </w:rPr>
        <w:t>条</w:t>
      </w:r>
      <w:r>
        <w:rPr>
          <w:rFonts w:hint="eastAsia" w:ascii="黑体" w:hAnsi="黑体" w:eastAsia="黑体" w:cs="黑体"/>
          <w:color w:val="000000" w:themeColor="text1"/>
          <w:sz w:val="30"/>
          <w:szCs w:val="30"/>
          <w:highlight w:val="none"/>
          <w14:textFill>
            <w14:solidFill>
              <w14:schemeClr w14:val="tx1"/>
            </w14:solidFill>
          </w14:textFill>
        </w:rPr>
        <w:t xml:space="preserve"> </w:t>
      </w:r>
      <w:r>
        <w:rPr>
          <w:rFonts w:hint="eastAsia" w:ascii="仿宋_GB2312" w:hAnsi="仿宋_GB2312" w:eastAsia="仿宋_GB2312" w:cs="仿宋_GB2312"/>
          <w:color w:val="000000" w:themeColor="text1"/>
          <w:sz w:val="30"/>
          <w:szCs w:val="30"/>
          <w:highlight w:val="none"/>
          <w14:textFill>
            <w14:solidFill>
              <w14:schemeClr w14:val="tx1"/>
            </w14:solidFill>
          </w14:textFill>
        </w:rPr>
        <w:t>在东源县拍摄制作</w:t>
      </w:r>
      <w:r>
        <w:rPr>
          <w:rFonts w:hint="eastAsia" w:ascii="仿宋_GB2312" w:hAnsi="仿宋_GB2312" w:eastAsia="仿宋_GB2312" w:cs="仿宋_GB2312"/>
          <w:color w:val="000000" w:themeColor="text1"/>
          <w:sz w:val="30"/>
          <w:szCs w:val="30"/>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0"/>
          <w:szCs w:val="30"/>
          <w:highlight w:val="none"/>
          <w14:textFill>
            <w14:solidFill>
              <w14:schemeClr w14:val="tx1"/>
            </w14:solidFill>
          </w14:textFill>
        </w:rPr>
        <w:t>入选国家、广东省、河源市剧本创作扶持的横屏网络微短剧</w:t>
      </w:r>
      <w:r>
        <w:rPr>
          <w:rStyle w:val="10"/>
          <w:rFonts w:hint="eastAsia" w:ascii="仿宋_GB2312" w:hAnsi="仿宋_GB2312" w:eastAsia="仿宋_GB2312" w:cs="仿宋_GB2312"/>
          <w:color w:val="000000" w:themeColor="text1"/>
          <w:sz w:val="30"/>
          <w:szCs w:val="30"/>
          <w:highlight w:val="none"/>
          <w14:textFill>
            <w14:solidFill>
              <w14:schemeClr w14:val="tx1"/>
            </w14:solidFill>
          </w14:textFill>
        </w:rPr>
        <w:footnoteReference w:id="0"/>
      </w:r>
      <w:r>
        <w:rPr>
          <w:rFonts w:hint="eastAsia" w:ascii="仿宋_GB2312" w:hAnsi="仿宋_GB2312" w:eastAsia="仿宋_GB2312" w:cs="仿宋_GB2312"/>
          <w:color w:val="000000" w:themeColor="text1"/>
          <w:sz w:val="30"/>
          <w:szCs w:val="30"/>
          <w:highlight w:val="none"/>
          <w14:textFill>
            <w14:solidFill>
              <w14:schemeClr w14:val="tx1"/>
            </w14:solidFill>
          </w14:textFill>
        </w:rPr>
        <w:t>剧本，在获得广东省《网络剧片发行许可证》并上线播出后，分别给予剧本版权方30万元、20万元、10万元资金扶持</w:t>
      </w:r>
      <w:r>
        <w:rPr>
          <w:rStyle w:val="10"/>
          <w:rFonts w:hint="eastAsia" w:ascii="仿宋_GB2312" w:hAnsi="仿宋_GB2312" w:eastAsia="仿宋_GB2312" w:cs="仿宋_GB2312"/>
          <w:color w:val="000000" w:themeColor="text1"/>
          <w:sz w:val="30"/>
          <w:szCs w:val="30"/>
          <w:highlight w:val="none"/>
          <w14:textFill>
            <w14:solidFill>
              <w14:schemeClr w14:val="tx1"/>
            </w14:solidFill>
          </w14:textFill>
        </w:rPr>
        <w:footnoteReference w:id="1"/>
      </w:r>
      <w:r>
        <w:rPr>
          <w:rFonts w:hint="eastAsia" w:ascii="仿宋_GB2312" w:hAnsi="仿宋_GB2312" w:eastAsia="仿宋_GB2312" w:cs="仿宋_GB2312"/>
          <w:color w:val="000000" w:themeColor="text1"/>
          <w:sz w:val="30"/>
          <w:szCs w:val="30"/>
          <w:highlight w:val="none"/>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0"/>
          <w:szCs w:val="30"/>
          <w:highlight w:val="none"/>
          <w14:textFill>
            <w14:solidFill>
              <w14:schemeClr w14:val="tx1"/>
            </w14:solidFill>
          </w14:textFill>
        </w:rPr>
        <w:t>若剧本分别获得国家、广东省、河源市剧本创作扶持，按最高级别扶持标准给予一次性扶持</w:t>
      </w:r>
      <w:r>
        <w:rPr>
          <w:rFonts w:hint="eastAsia" w:ascii="仿宋_GB2312" w:hAnsi="仿宋_GB2312" w:eastAsia="仿宋_GB2312" w:cs="仿宋_GB2312"/>
          <w:i w:val="0"/>
          <w:iCs w:val="0"/>
          <w:caps w:val="0"/>
          <w:color w:val="000000" w:themeColor="text1"/>
          <w:spacing w:val="0"/>
          <w:sz w:val="30"/>
          <w:szCs w:val="30"/>
          <w:highlight w:val="none"/>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0"/>
          <w:szCs w:val="30"/>
          <w:highlight w:val="none"/>
          <w14:textFill>
            <w14:solidFill>
              <w14:schemeClr w14:val="tx1"/>
            </w14:solidFill>
          </w14:textFill>
        </w:rPr>
        <w:t>版权方不重复享</w:t>
      </w:r>
      <w:r>
        <w:rPr>
          <w:rFonts w:hint="eastAsia" w:ascii="仿宋_GB2312" w:hAnsi="仿宋_GB2312" w:eastAsia="仿宋_GB2312" w:cs="仿宋_GB2312"/>
          <w:i w:val="0"/>
          <w:iCs w:val="0"/>
          <w:caps w:val="0"/>
          <w:color w:val="000000" w:themeColor="text1"/>
          <w:spacing w:val="0"/>
          <w:sz w:val="30"/>
          <w:szCs w:val="30"/>
          <w:highlight w:val="none"/>
          <w:lang w:val="en-US" w:eastAsia="zh-CN"/>
          <w14:textFill>
            <w14:solidFill>
              <w14:schemeClr w14:val="tx1"/>
            </w14:solidFill>
          </w14:textFill>
        </w:rPr>
        <w:t>受扶持资金</w:t>
      </w:r>
      <w:r>
        <w:rPr>
          <w:rFonts w:hint="eastAsia" w:ascii="仿宋_GB2312" w:hAnsi="仿宋_GB2312" w:eastAsia="仿宋_GB2312" w:cs="仿宋_GB2312"/>
          <w:i w:val="0"/>
          <w:iCs w:val="0"/>
          <w:caps w:val="0"/>
          <w:color w:val="000000" w:themeColor="text1"/>
          <w:spacing w:val="0"/>
          <w:sz w:val="30"/>
          <w:szCs w:val="30"/>
          <w:highlight w:val="none"/>
          <w:lang w:eastAsia="zh-CN"/>
          <w14:textFill>
            <w14:solidFill>
              <w14:schemeClr w14:val="tx1"/>
            </w14:solidFill>
          </w14:textFill>
        </w:rPr>
        <w:t>。</w:t>
      </w:r>
    </w:p>
    <w:p w14:paraId="680802CA">
      <w:pPr>
        <w:spacing w:after="93" w:afterLines="30" w:line="480" w:lineRule="exact"/>
        <w:ind w:firstLine="602" w:firstLineChars="200"/>
        <w:rPr>
          <w:rFonts w:hint="eastAsia" w:ascii="仿宋_GB2312" w:hAnsi="仿宋_GB2312" w:eastAsia="仿宋_GB2312" w:cs="仿宋_GB2312"/>
          <w:color w:val="000000" w:themeColor="text1"/>
          <w:sz w:val="30"/>
          <w:szCs w:val="30"/>
          <w:highlight w:val="none"/>
          <w:lang w:eastAsia="zh-CN"/>
          <w14:textFill>
            <w14:solidFill>
              <w14:schemeClr w14:val="tx1"/>
            </w14:solidFill>
          </w14:textFill>
        </w:rPr>
      </w:pPr>
      <w:r>
        <w:rPr>
          <w:rFonts w:hint="eastAsia" w:ascii="仿宋_GB2312" w:hAnsi="仿宋_GB2312" w:eastAsia="仿宋_GB2312" w:cs="仿宋_GB2312"/>
          <w:b/>
          <w:bCs/>
          <w:color w:val="000000" w:themeColor="text1"/>
          <w:sz w:val="30"/>
          <w:szCs w:val="30"/>
          <w:highlight w:val="none"/>
          <w14:textFill>
            <w14:solidFill>
              <w14:schemeClr w14:val="tx1"/>
            </w14:solidFill>
          </w14:textFill>
        </w:rPr>
        <w:t>第</w:t>
      </w:r>
      <w:r>
        <w:rPr>
          <w:rFonts w:hint="eastAsia" w:ascii="仿宋_GB2312" w:hAnsi="仿宋_GB2312" w:eastAsia="仿宋_GB2312" w:cs="仿宋_GB2312"/>
          <w:b/>
          <w:bCs/>
          <w:color w:val="000000" w:themeColor="text1"/>
          <w:sz w:val="30"/>
          <w:szCs w:val="30"/>
          <w:highlight w:val="none"/>
          <w:lang w:val="en-US" w:eastAsia="zh-CN"/>
          <w14:textFill>
            <w14:solidFill>
              <w14:schemeClr w14:val="tx1"/>
            </w14:solidFill>
          </w14:textFill>
        </w:rPr>
        <w:t>二</w:t>
      </w:r>
      <w:r>
        <w:rPr>
          <w:rFonts w:hint="eastAsia" w:ascii="仿宋_GB2312" w:hAnsi="仿宋_GB2312" w:eastAsia="仿宋_GB2312" w:cs="仿宋_GB2312"/>
          <w:b/>
          <w:bCs/>
          <w:color w:val="000000" w:themeColor="text1"/>
          <w:sz w:val="30"/>
          <w:szCs w:val="30"/>
          <w:highlight w:val="none"/>
          <w14:textFill>
            <w14:solidFill>
              <w14:schemeClr w14:val="tx1"/>
            </w14:solidFill>
          </w14:textFill>
        </w:rPr>
        <w:t>条</w:t>
      </w:r>
      <w:r>
        <w:rPr>
          <w:rFonts w:hint="eastAsia" w:ascii="仿宋_GB2312" w:hAnsi="仿宋_GB2312" w:eastAsia="仿宋_GB2312" w:cs="仿宋_GB2312"/>
          <w:color w:val="000000" w:themeColor="text1"/>
          <w:sz w:val="30"/>
          <w:szCs w:val="30"/>
          <w:highlight w:val="none"/>
          <w14:textFill>
            <w14:solidFill>
              <w14:schemeClr w14:val="tx1"/>
            </w14:solidFill>
          </w14:textFill>
        </w:rPr>
        <w:t xml:space="preserve"> </w:t>
      </w:r>
      <w:r>
        <w:rPr>
          <w:rFonts w:hint="eastAsia" w:ascii="仿宋_GB2312" w:hAnsi="仿宋_GB2312" w:eastAsia="仿宋_GB2312" w:cs="仿宋_GB2312"/>
          <w:color w:val="000000" w:themeColor="text1"/>
          <w:sz w:val="30"/>
          <w:szCs w:val="30"/>
          <w:highlight w:val="none"/>
          <w:lang w:val="en-US" w:eastAsia="zh-CN"/>
          <w14:textFill>
            <w14:solidFill>
              <w14:schemeClr w14:val="tx1"/>
            </w14:solidFill>
          </w14:textFill>
        </w:rPr>
        <w:t>在东源县拍摄制作、</w:t>
      </w:r>
      <w:r>
        <w:rPr>
          <w:rFonts w:hint="eastAsia" w:ascii="仿宋_GB2312" w:hAnsi="仿宋_GB2312" w:eastAsia="仿宋_GB2312" w:cs="仿宋_GB2312"/>
          <w:color w:val="000000" w:themeColor="text1"/>
          <w:sz w:val="30"/>
          <w:szCs w:val="30"/>
          <w:highlight w:val="none"/>
          <w14:textFill>
            <w14:solidFill>
              <w14:schemeClr w14:val="tx1"/>
            </w14:solidFill>
          </w14:textFill>
        </w:rPr>
        <w:t>入选国家、广东省、河源市剧本创作扶持的竖屏网络微短剧</w:t>
      </w:r>
      <w:r>
        <w:rPr>
          <w:rStyle w:val="10"/>
          <w:rFonts w:hint="eastAsia" w:ascii="仿宋_GB2312" w:hAnsi="仿宋_GB2312" w:eastAsia="仿宋_GB2312" w:cs="仿宋_GB2312"/>
          <w:color w:val="000000" w:themeColor="text1"/>
          <w:sz w:val="30"/>
          <w:szCs w:val="30"/>
          <w:highlight w:val="none"/>
          <w14:textFill>
            <w14:solidFill>
              <w14:schemeClr w14:val="tx1"/>
            </w14:solidFill>
          </w14:textFill>
        </w:rPr>
        <w:footnoteReference w:id="2"/>
      </w:r>
      <w:r>
        <w:rPr>
          <w:rFonts w:hint="eastAsia" w:ascii="仿宋_GB2312" w:hAnsi="仿宋_GB2312" w:eastAsia="仿宋_GB2312" w:cs="仿宋_GB2312"/>
          <w:color w:val="000000" w:themeColor="text1"/>
          <w:sz w:val="30"/>
          <w:szCs w:val="30"/>
          <w:highlight w:val="none"/>
          <w14:textFill>
            <w14:solidFill>
              <w14:schemeClr w14:val="tx1"/>
            </w14:solidFill>
          </w14:textFill>
        </w:rPr>
        <w:t>剧本，在作品获得“上线备案号”并播出后，分别给予剧本版权方8万元、5万元、3万元资金扶持</w:t>
      </w:r>
      <w:r>
        <w:rPr>
          <w:rStyle w:val="10"/>
          <w:rFonts w:hint="eastAsia" w:ascii="仿宋_GB2312" w:hAnsi="仿宋_GB2312" w:eastAsia="仿宋_GB2312" w:cs="仿宋_GB2312"/>
          <w:color w:val="000000" w:themeColor="text1"/>
          <w:sz w:val="30"/>
          <w:szCs w:val="30"/>
          <w:highlight w:val="none"/>
          <w14:textFill>
            <w14:solidFill>
              <w14:schemeClr w14:val="tx1"/>
            </w14:solidFill>
          </w14:textFill>
        </w:rPr>
        <w:footnoteReference w:id="3"/>
      </w:r>
      <w:r>
        <w:rPr>
          <w:rFonts w:hint="eastAsia" w:ascii="仿宋_GB2312" w:hAnsi="仿宋_GB2312" w:eastAsia="仿宋_GB2312" w:cs="仿宋_GB2312"/>
          <w:color w:val="000000" w:themeColor="text1"/>
          <w:sz w:val="30"/>
          <w:szCs w:val="30"/>
          <w:highlight w:val="none"/>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0"/>
          <w:szCs w:val="30"/>
          <w:highlight w:val="none"/>
          <w14:textFill>
            <w14:solidFill>
              <w14:schemeClr w14:val="tx1"/>
            </w14:solidFill>
          </w14:textFill>
        </w:rPr>
        <w:t>若剧本分别获得国家、广东省、河源市剧本创作扶持，按最高级别扶持标准给予一次性扶持</w:t>
      </w:r>
      <w:r>
        <w:rPr>
          <w:rFonts w:hint="eastAsia" w:ascii="仿宋_GB2312" w:hAnsi="仿宋_GB2312" w:eastAsia="仿宋_GB2312" w:cs="仿宋_GB2312"/>
          <w:i w:val="0"/>
          <w:iCs w:val="0"/>
          <w:caps w:val="0"/>
          <w:color w:val="000000" w:themeColor="text1"/>
          <w:spacing w:val="0"/>
          <w:sz w:val="30"/>
          <w:szCs w:val="30"/>
          <w:highlight w:val="none"/>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0"/>
          <w:szCs w:val="30"/>
          <w:highlight w:val="none"/>
          <w14:textFill>
            <w14:solidFill>
              <w14:schemeClr w14:val="tx1"/>
            </w14:solidFill>
          </w14:textFill>
        </w:rPr>
        <w:t>版权方不重复享</w:t>
      </w:r>
      <w:r>
        <w:rPr>
          <w:rFonts w:hint="eastAsia" w:ascii="仿宋_GB2312" w:hAnsi="仿宋_GB2312" w:eastAsia="仿宋_GB2312" w:cs="仿宋_GB2312"/>
          <w:i w:val="0"/>
          <w:iCs w:val="0"/>
          <w:caps w:val="0"/>
          <w:color w:val="000000" w:themeColor="text1"/>
          <w:spacing w:val="0"/>
          <w:sz w:val="30"/>
          <w:szCs w:val="30"/>
          <w:highlight w:val="none"/>
          <w:lang w:val="en-US" w:eastAsia="zh-CN"/>
          <w14:textFill>
            <w14:solidFill>
              <w14:schemeClr w14:val="tx1"/>
            </w14:solidFill>
          </w14:textFill>
        </w:rPr>
        <w:t>受扶持资金</w:t>
      </w:r>
      <w:r>
        <w:rPr>
          <w:rFonts w:hint="eastAsia" w:ascii="仿宋_GB2312" w:hAnsi="仿宋_GB2312" w:eastAsia="仿宋_GB2312" w:cs="仿宋_GB2312"/>
          <w:i w:val="0"/>
          <w:iCs w:val="0"/>
          <w:caps w:val="0"/>
          <w:color w:val="000000" w:themeColor="text1"/>
          <w:spacing w:val="0"/>
          <w:sz w:val="30"/>
          <w:szCs w:val="30"/>
          <w:highlight w:val="none"/>
          <w:lang w:eastAsia="zh-CN"/>
          <w14:textFill>
            <w14:solidFill>
              <w14:schemeClr w14:val="tx1"/>
            </w14:solidFill>
          </w14:textFill>
        </w:rPr>
        <w:t>。</w:t>
      </w:r>
    </w:p>
    <w:p w14:paraId="32795B34">
      <w:pPr>
        <w:spacing w:after="93" w:afterLines="30" w:line="480" w:lineRule="exact"/>
        <w:ind w:firstLine="602" w:firstLineChars="200"/>
        <w:rPr>
          <w:rFonts w:hint="eastAsia" w:ascii="仿宋_GB2312" w:hAnsi="仿宋_GB2312" w:eastAsia="仿宋_GB2312" w:cs="仿宋_GB2312"/>
          <w:color w:val="000000" w:themeColor="text1"/>
          <w:sz w:val="30"/>
          <w:szCs w:val="30"/>
          <w:highlight w:val="none"/>
          <w14:textFill>
            <w14:solidFill>
              <w14:schemeClr w14:val="tx1"/>
            </w14:solidFill>
          </w14:textFill>
        </w:rPr>
      </w:pPr>
      <w:r>
        <w:rPr>
          <w:rFonts w:hint="eastAsia" w:ascii="仿宋_GB2312" w:hAnsi="仿宋_GB2312" w:eastAsia="仿宋_GB2312" w:cs="仿宋_GB2312"/>
          <w:b/>
          <w:bCs/>
          <w:color w:val="000000" w:themeColor="text1"/>
          <w:sz w:val="30"/>
          <w:szCs w:val="30"/>
          <w:highlight w:val="none"/>
          <w14:textFill>
            <w14:solidFill>
              <w14:schemeClr w14:val="tx1"/>
            </w14:solidFill>
          </w14:textFill>
        </w:rPr>
        <w:t>第</w:t>
      </w:r>
      <w:r>
        <w:rPr>
          <w:rFonts w:hint="eastAsia" w:ascii="仿宋_GB2312" w:hAnsi="仿宋_GB2312" w:eastAsia="仿宋_GB2312" w:cs="仿宋_GB2312"/>
          <w:b/>
          <w:bCs/>
          <w:color w:val="000000" w:themeColor="text1"/>
          <w:sz w:val="30"/>
          <w:szCs w:val="30"/>
          <w:highlight w:val="none"/>
          <w:lang w:val="en-US" w:eastAsia="zh-CN"/>
          <w14:textFill>
            <w14:solidFill>
              <w14:schemeClr w14:val="tx1"/>
            </w14:solidFill>
          </w14:textFill>
        </w:rPr>
        <w:t>三</w:t>
      </w:r>
      <w:r>
        <w:rPr>
          <w:rFonts w:hint="eastAsia" w:ascii="仿宋_GB2312" w:hAnsi="仿宋_GB2312" w:eastAsia="仿宋_GB2312" w:cs="仿宋_GB2312"/>
          <w:b/>
          <w:bCs/>
          <w:color w:val="000000" w:themeColor="text1"/>
          <w:sz w:val="30"/>
          <w:szCs w:val="30"/>
          <w:highlight w:val="none"/>
          <w14:textFill>
            <w14:solidFill>
              <w14:schemeClr w14:val="tx1"/>
            </w14:solidFill>
          </w14:textFill>
        </w:rPr>
        <w:t>条</w:t>
      </w:r>
      <w:r>
        <w:rPr>
          <w:rFonts w:hint="eastAsia" w:ascii="黑体" w:hAnsi="黑体" w:eastAsia="黑体" w:cs="黑体"/>
          <w:color w:val="000000" w:themeColor="text1"/>
          <w:sz w:val="30"/>
          <w:szCs w:val="30"/>
          <w:highlight w:val="none"/>
          <w14:textFill>
            <w14:solidFill>
              <w14:schemeClr w14:val="tx1"/>
            </w14:solidFill>
          </w14:textFill>
        </w:rPr>
        <w:t xml:space="preserve"> </w:t>
      </w:r>
      <w:r>
        <w:rPr>
          <w:rFonts w:hint="eastAsia" w:ascii="仿宋_GB2312" w:hAnsi="仿宋_GB2312" w:eastAsia="仿宋_GB2312" w:cs="仿宋_GB2312"/>
          <w:color w:val="000000" w:themeColor="text1"/>
          <w:sz w:val="30"/>
          <w:szCs w:val="30"/>
          <w:highlight w:val="none"/>
          <w14:textFill>
            <w14:solidFill>
              <w14:schemeClr w14:val="tx1"/>
            </w14:solidFill>
          </w14:textFill>
        </w:rPr>
        <w:t>企业创作的微短剧剧本</w:t>
      </w:r>
      <w:r>
        <w:rPr>
          <w:rFonts w:hint="eastAsia" w:ascii="仿宋_GB2312" w:hAnsi="仿宋_GB2312" w:eastAsia="仿宋_GB2312" w:cs="仿宋_GB2312"/>
          <w:color w:val="000000" w:themeColor="text1"/>
          <w:sz w:val="30"/>
          <w:szCs w:val="30"/>
          <w:highlight w:val="none"/>
          <w:lang w:val="en-US" w:eastAsia="zh-CN"/>
          <w14:textFill>
            <w14:solidFill>
              <w14:schemeClr w14:val="tx1"/>
            </w14:solidFill>
          </w14:textFill>
        </w:rPr>
        <w:t>在东源县拍摄制作后</w:t>
      </w:r>
      <w:r>
        <w:rPr>
          <w:rFonts w:hint="eastAsia" w:ascii="仿宋_GB2312" w:hAnsi="仿宋_GB2312" w:eastAsia="仿宋_GB2312" w:cs="仿宋_GB2312"/>
          <w:color w:val="000000" w:themeColor="text1"/>
          <w:sz w:val="30"/>
          <w:szCs w:val="30"/>
          <w:highlight w:val="none"/>
          <w14:textFill>
            <w14:solidFill>
              <w14:schemeClr w14:val="tx1"/>
            </w14:solidFill>
          </w14:textFill>
        </w:rPr>
        <w:t>，入选国家广电总局网络视听精品创作传播工程、原创网络视听节目征集展播、网络视听节目年度推优目录并播出的，给予剧本版权方30万元（横屏）、8万元（竖屏）奖励</w:t>
      </w:r>
      <w:r>
        <w:rPr>
          <w:rStyle w:val="10"/>
          <w:rFonts w:hint="eastAsia" w:ascii="仿宋_GB2312" w:hAnsi="仿宋_GB2312" w:eastAsia="仿宋_GB2312" w:cs="仿宋_GB2312"/>
          <w:color w:val="000000" w:themeColor="text1"/>
          <w:sz w:val="30"/>
          <w:szCs w:val="30"/>
          <w:highlight w:val="none"/>
          <w14:textFill>
            <w14:solidFill>
              <w14:schemeClr w14:val="tx1"/>
            </w14:solidFill>
          </w14:textFill>
        </w:rPr>
        <w:footnoteReference w:id="4"/>
      </w:r>
      <w:r>
        <w:rPr>
          <w:rFonts w:hint="eastAsia" w:ascii="仿宋_GB2312" w:hAnsi="仿宋_GB2312" w:eastAsia="仿宋_GB2312" w:cs="仿宋_GB2312"/>
          <w:color w:val="000000" w:themeColor="text1"/>
          <w:sz w:val="30"/>
          <w:szCs w:val="30"/>
          <w:highlight w:val="none"/>
          <w14:textFill>
            <w14:solidFill>
              <w14:schemeClr w14:val="tx1"/>
            </w14:solidFill>
          </w14:textFill>
        </w:rPr>
        <w:t>。</w:t>
      </w:r>
    </w:p>
    <w:p w14:paraId="2081EE38">
      <w:pPr>
        <w:spacing w:after="93" w:afterLines="30" w:line="480" w:lineRule="exact"/>
        <w:ind w:firstLine="602" w:firstLineChars="200"/>
        <w:rPr>
          <w:rFonts w:hint="eastAsia" w:ascii="仿宋_GB2312" w:hAnsi="仿宋_GB2312" w:eastAsia="仿宋_GB2312" w:cs="仿宋_GB2312"/>
          <w:b/>
          <w:bCs/>
          <w:color w:val="000000" w:themeColor="text1"/>
          <w:sz w:val="30"/>
          <w:szCs w:val="30"/>
          <w:highlight w:val="none"/>
          <w14:textFill>
            <w14:solidFill>
              <w14:schemeClr w14:val="tx1"/>
            </w14:solidFill>
          </w14:textFill>
        </w:rPr>
      </w:pPr>
      <w:r>
        <w:rPr>
          <w:rFonts w:hint="eastAsia" w:ascii="仿宋_GB2312" w:hAnsi="仿宋_GB2312" w:eastAsia="仿宋_GB2312" w:cs="仿宋_GB2312"/>
          <w:b/>
          <w:bCs/>
          <w:color w:val="000000" w:themeColor="text1"/>
          <w:sz w:val="30"/>
          <w:szCs w:val="30"/>
          <w:highlight w:val="none"/>
          <w14:textFill>
            <w14:solidFill>
              <w14:schemeClr w14:val="tx1"/>
            </w14:solidFill>
          </w14:textFill>
        </w:rPr>
        <w:t>第</w:t>
      </w:r>
      <w:r>
        <w:rPr>
          <w:rFonts w:hint="eastAsia" w:ascii="仿宋_GB2312" w:hAnsi="仿宋_GB2312" w:eastAsia="仿宋_GB2312" w:cs="仿宋_GB2312"/>
          <w:b/>
          <w:bCs/>
          <w:color w:val="000000" w:themeColor="text1"/>
          <w:sz w:val="30"/>
          <w:szCs w:val="30"/>
          <w:highlight w:val="none"/>
          <w:lang w:val="en-US" w:eastAsia="zh-CN"/>
          <w14:textFill>
            <w14:solidFill>
              <w14:schemeClr w14:val="tx1"/>
            </w14:solidFill>
          </w14:textFill>
        </w:rPr>
        <w:t>四</w:t>
      </w:r>
      <w:r>
        <w:rPr>
          <w:rFonts w:hint="eastAsia" w:ascii="仿宋_GB2312" w:hAnsi="仿宋_GB2312" w:eastAsia="仿宋_GB2312" w:cs="仿宋_GB2312"/>
          <w:b/>
          <w:bCs/>
          <w:color w:val="000000" w:themeColor="text1"/>
          <w:sz w:val="30"/>
          <w:szCs w:val="30"/>
          <w:highlight w:val="none"/>
          <w14:textFill>
            <w14:solidFill>
              <w14:schemeClr w14:val="tx1"/>
            </w14:solidFill>
          </w14:textFill>
        </w:rPr>
        <w:t>条</w:t>
      </w:r>
      <w:r>
        <w:rPr>
          <w:rFonts w:hint="eastAsia" w:ascii="黑体" w:hAnsi="黑体" w:eastAsia="黑体" w:cs="黑体"/>
          <w:color w:val="000000" w:themeColor="text1"/>
          <w:sz w:val="30"/>
          <w:szCs w:val="30"/>
          <w:highlight w:val="none"/>
          <w14:textFill>
            <w14:solidFill>
              <w14:schemeClr w14:val="tx1"/>
            </w14:solidFill>
          </w14:textFill>
        </w:rPr>
        <w:t xml:space="preserve"> </w:t>
      </w:r>
      <w:r>
        <w:rPr>
          <w:rFonts w:hint="eastAsia" w:ascii="仿宋_GB2312" w:hAnsi="仿宋_GB2312" w:eastAsia="仿宋_GB2312" w:cs="仿宋_GB2312"/>
          <w:color w:val="000000" w:themeColor="text1"/>
          <w:sz w:val="30"/>
          <w:szCs w:val="30"/>
          <w:highlight w:val="none"/>
          <w14:textFill>
            <w14:solidFill>
              <w14:schemeClr w14:val="tx1"/>
            </w14:solidFill>
          </w14:textFill>
        </w:rPr>
        <w:t>在东源县拍摄制作横屏网络微短剧作品实际发生的制作配套费用（含服化道、摄录美、场地、器材、食宿等），正片在视频网站（爱奇艺、腾讯、优酷、芒果TV等）上线播出后，按在</w:t>
      </w:r>
      <w:r>
        <w:rPr>
          <w:rFonts w:hint="eastAsia" w:ascii="仿宋_GB2312" w:hAnsi="仿宋_GB2312" w:eastAsia="仿宋_GB2312" w:cs="仿宋_GB2312"/>
          <w:color w:val="000000" w:themeColor="text1"/>
          <w:sz w:val="30"/>
          <w:szCs w:val="30"/>
          <w:highlight w:val="none"/>
          <w:lang w:eastAsia="zh-CN"/>
          <w14:textFill>
            <w14:solidFill>
              <w14:schemeClr w14:val="tx1"/>
            </w14:solidFill>
          </w14:textFill>
        </w:rPr>
        <w:t>本县</w:t>
      </w:r>
      <w:r>
        <w:rPr>
          <w:rFonts w:hint="eastAsia" w:ascii="仿宋_GB2312" w:hAnsi="仿宋_GB2312" w:eastAsia="仿宋_GB2312" w:cs="仿宋_GB2312"/>
          <w:color w:val="000000" w:themeColor="text1"/>
          <w:sz w:val="30"/>
          <w:szCs w:val="30"/>
          <w:highlight w:val="none"/>
          <w14:textFill>
            <w14:solidFill>
              <w14:schemeClr w14:val="tx1"/>
            </w14:solidFill>
          </w14:textFill>
        </w:rPr>
        <w:t>实际发生制作配套费的20%给予制作方拍摄补助，每家企业每年最高不超过100万元</w:t>
      </w:r>
      <w:r>
        <w:rPr>
          <w:rStyle w:val="10"/>
          <w:rFonts w:hint="eastAsia" w:ascii="仿宋_GB2312" w:hAnsi="仿宋_GB2312" w:eastAsia="仿宋_GB2312" w:cs="仿宋_GB2312"/>
          <w:color w:val="000000" w:themeColor="text1"/>
          <w:sz w:val="30"/>
          <w:szCs w:val="30"/>
          <w:highlight w:val="none"/>
          <w14:textFill>
            <w14:solidFill>
              <w14:schemeClr w14:val="tx1"/>
            </w14:solidFill>
          </w14:textFill>
        </w:rPr>
        <w:footnoteReference w:id="5"/>
      </w:r>
      <w:r>
        <w:rPr>
          <w:rFonts w:hint="eastAsia" w:ascii="仿宋_GB2312" w:hAnsi="仿宋_GB2312" w:eastAsia="仿宋_GB2312" w:cs="仿宋_GB2312"/>
          <w:color w:val="000000" w:themeColor="text1"/>
          <w:sz w:val="30"/>
          <w:szCs w:val="30"/>
          <w:highlight w:val="none"/>
          <w14:textFill>
            <w14:solidFill>
              <w14:schemeClr w14:val="tx1"/>
            </w14:solidFill>
          </w14:textFill>
        </w:rPr>
        <w:t>。</w:t>
      </w:r>
    </w:p>
    <w:p w14:paraId="664CDD85">
      <w:pPr>
        <w:spacing w:after="93" w:afterLines="30" w:line="480" w:lineRule="exact"/>
        <w:ind w:firstLine="602" w:firstLineChars="200"/>
        <w:rPr>
          <w:rFonts w:hint="eastAsia" w:ascii="仿宋_GB2312" w:hAnsi="仿宋_GB2312" w:eastAsia="仿宋_GB2312" w:cs="仿宋_GB2312"/>
          <w:color w:val="000000" w:themeColor="text1"/>
          <w:sz w:val="30"/>
          <w:szCs w:val="30"/>
          <w:highlight w:val="none"/>
          <w14:textFill>
            <w14:solidFill>
              <w14:schemeClr w14:val="tx1"/>
            </w14:solidFill>
          </w14:textFill>
        </w:rPr>
      </w:pPr>
      <w:r>
        <w:rPr>
          <w:rFonts w:hint="eastAsia" w:ascii="仿宋_GB2312" w:hAnsi="仿宋_GB2312" w:eastAsia="仿宋_GB2312" w:cs="仿宋_GB2312"/>
          <w:b/>
          <w:bCs/>
          <w:color w:val="000000" w:themeColor="text1"/>
          <w:sz w:val="30"/>
          <w:szCs w:val="30"/>
          <w:highlight w:val="none"/>
          <w14:textFill>
            <w14:solidFill>
              <w14:schemeClr w14:val="tx1"/>
            </w14:solidFill>
          </w14:textFill>
        </w:rPr>
        <w:t>第</w:t>
      </w:r>
      <w:r>
        <w:rPr>
          <w:rFonts w:hint="eastAsia" w:ascii="仿宋_GB2312" w:hAnsi="仿宋_GB2312" w:eastAsia="仿宋_GB2312" w:cs="仿宋_GB2312"/>
          <w:b/>
          <w:bCs/>
          <w:color w:val="000000" w:themeColor="text1"/>
          <w:sz w:val="30"/>
          <w:szCs w:val="30"/>
          <w:highlight w:val="none"/>
          <w:lang w:val="en-US" w:eastAsia="zh-CN"/>
          <w14:textFill>
            <w14:solidFill>
              <w14:schemeClr w14:val="tx1"/>
            </w14:solidFill>
          </w14:textFill>
        </w:rPr>
        <w:t>五</w:t>
      </w:r>
      <w:r>
        <w:rPr>
          <w:rFonts w:hint="eastAsia" w:ascii="仿宋_GB2312" w:hAnsi="仿宋_GB2312" w:eastAsia="仿宋_GB2312" w:cs="仿宋_GB2312"/>
          <w:b/>
          <w:bCs/>
          <w:color w:val="000000" w:themeColor="text1"/>
          <w:sz w:val="30"/>
          <w:szCs w:val="30"/>
          <w:highlight w:val="none"/>
          <w14:textFill>
            <w14:solidFill>
              <w14:schemeClr w14:val="tx1"/>
            </w14:solidFill>
          </w14:textFill>
        </w:rPr>
        <w:t>条</w:t>
      </w:r>
      <w:r>
        <w:rPr>
          <w:rFonts w:hint="eastAsia" w:ascii="黑体" w:hAnsi="黑体" w:eastAsia="黑体" w:cs="黑体"/>
          <w:color w:val="000000" w:themeColor="text1"/>
          <w:sz w:val="30"/>
          <w:szCs w:val="30"/>
          <w:highlight w:val="none"/>
          <w14:textFill>
            <w14:solidFill>
              <w14:schemeClr w14:val="tx1"/>
            </w14:solidFill>
          </w14:textFill>
        </w:rPr>
        <w:t xml:space="preserve"> </w:t>
      </w:r>
      <w:r>
        <w:rPr>
          <w:rFonts w:hint="eastAsia" w:ascii="仿宋_GB2312" w:hAnsi="仿宋_GB2312" w:eastAsia="仿宋_GB2312" w:cs="仿宋_GB2312"/>
          <w:color w:val="000000" w:themeColor="text1"/>
          <w:sz w:val="30"/>
          <w:szCs w:val="30"/>
          <w:highlight w:val="none"/>
          <w14:textFill>
            <w14:solidFill>
              <w14:schemeClr w14:val="tx1"/>
            </w14:solidFill>
          </w14:textFill>
        </w:rPr>
        <w:t>在东源县拍摄制作竖屏网络微短剧作品实际发生的制作配套费用（含服化道、摄录美、场地、器材、食宿等），在短视频平台（抖音、快手、淘宝逛逛等）上线播出后，按在</w:t>
      </w:r>
      <w:r>
        <w:rPr>
          <w:rFonts w:hint="eastAsia" w:ascii="仿宋_GB2312" w:hAnsi="仿宋_GB2312" w:eastAsia="仿宋_GB2312" w:cs="仿宋_GB2312"/>
          <w:color w:val="000000" w:themeColor="text1"/>
          <w:sz w:val="30"/>
          <w:szCs w:val="30"/>
          <w:highlight w:val="none"/>
          <w:lang w:eastAsia="zh-CN"/>
          <w14:textFill>
            <w14:solidFill>
              <w14:schemeClr w14:val="tx1"/>
            </w14:solidFill>
          </w14:textFill>
        </w:rPr>
        <w:t>本县</w:t>
      </w:r>
      <w:r>
        <w:rPr>
          <w:rFonts w:hint="eastAsia" w:ascii="仿宋_GB2312" w:hAnsi="仿宋_GB2312" w:eastAsia="仿宋_GB2312" w:cs="仿宋_GB2312"/>
          <w:color w:val="000000" w:themeColor="text1"/>
          <w:sz w:val="30"/>
          <w:szCs w:val="30"/>
          <w:highlight w:val="none"/>
          <w14:textFill>
            <w14:solidFill>
              <w14:schemeClr w14:val="tx1"/>
            </w14:solidFill>
          </w14:textFill>
        </w:rPr>
        <w:t>实际发生制作配套费的20%给予拍摄制作方拍摄补助，每家企业每年最高不超过100万元</w:t>
      </w:r>
      <w:r>
        <w:rPr>
          <w:rStyle w:val="10"/>
          <w:rFonts w:hint="eastAsia" w:ascii="仿宋_GB2312" w:hAnsi="仿宋_GB2312" w:eastAsia="仿宋_GB2312" w:cs="仿宋_GB2312"/>
          <w:color w:val="000000" w:themeColor="text1"/>
          <w:sz w:val="32"/>
          <w:szCs w:val="36"/>
          <w:highlight w:val="none"/>
          <w14:textFill>
            <w14:solidFill>
              <w14:schemeClr w14:val="tx1"/>
            </w14:solidFill>
          </w14:textFill>
        </w:rPr>
        <w:footnoteReference w:id="6"/>
      </w:r>
      <w:r>
        <w:rPr>
          <w:rFonts w:hint="eastAsia" w:ascii="仿宋_GB2312" w:hAnsi="仿宋_GB2312" w:eastAsia="仿宋_GB2312" w:cs="仿宋_GB2312"/>
          <w:color w:val="000000" w:themeColor="text1"/>
          <w:sz w:val="30"/>
          <w:szCs w:val="30"/>
          <w:highlight w:val="none"/>
          <w14:textFill>
            <w14:solidFill>
              <w14:schemeClr w14:val="tx1"/>
            </w14:solidFill>
          </w14:textFill>
        </w:rPr>
        <w:t>。</w:t>
      </w:r>
    </w:p>
    <w:p w14:paraId="4ABEE33D">
      <w:pPr>
        <w:spacing w:after="93" w:afterLines="30" w:line="480" w:lineRule="exact"/>
        <w:ind w:firstLine="602" w:firstLineChars="200"/>
        <w:rPr>
          <w:rFonts w:ascii="黑体" w:hAnsi="黑体" w:eastAsia="黑体" w:cs="黑体"/>
          <w:color w:val="000000" w:themeColor="text1"/>
          <w:sz w:val="30"/>
          <w:szCs w:val="30"/>
          <w:highlight w:val="none"/>
          <w14:textFill>
            <w14:solidFill>
              <w14:schemeClr w14:val="tx1"/>
            </w14:solidFill>
          </w14:textFill>
        </w:rPr>
      </w:pPr>
      <w:r>
        <w:rPr>
          <w:rFonts w:hint="eastAsia" w:ascii="仿宋_GB2312" w:hAnsi="仿宋_GB2312" w:eastAsia="仿宋_GB2312" w:cs="仿宋_GB2312"/>
          <w:b/>
          <w:bCs/>
          <w:color w:val="000000" w:themeColor="text1"/>
          <w:sz w:val="30"/>
          <w:szCs w:val="30"/>
          <w:highlight w:val="none"/>
          <w14:textFill>
            <w14:solidFill>
              <w14:schemeClr w14:val="tx1"/>
            </w14:solidFill>
          </w14:textFill>
        </w:rPr>
        <w:t>第</w:t>
      </w:r>
      <w:r>
        <w:rPr>
          <w:rFonts w:hint="eastAsia" w:ascii="仿宋_GB2312" w:hAnsi="仿宋_GB2312" w:eastAsia="仿宋_GB2312" w:cs="仿宋_GB2312"/>
          <w:b/>
          <w:bCs/>
          <w:color w:val="000000" w:themeColor="text1"/>
          <w:sz w:val="30"/>
          <w:szCs w:val="30"/>
          <w:highlight w:val="none"/>
          <w:lang w:val="en-US" w:eastAsia="zh-CN"/>
          <w14:textFill>
            <w14:solidFill>
              <w14:schemeClr w14:val="tx1"/>
            </w14:solidFill>
          </w14:textFill>
        </w:rPr>
        <w:t>六</w:t>
      </w:r>
      <w:r>
        <w:rPr>
          <w:rFonts w:hint="eastAsia" w:ascii="仿宋_GB2312" w:hAnsi="仿宋_GB2312" w:eastAsia="仿宋_GB2312" w:cs="仿宋_GB2312"/>
          <w:b/>
          <w:bCs/>
          <w:color w:val="000000" w:themeColor="text1"/>
          <w:sz w:val="30"/>
          <w:szCs w:val="30"/>
          <w:highlight w:val="none"/>
          <w14:textFill>
            <w14:solidFill>
              <w14:schemeClr w14:val="tx1"/>
            </w14:solidFill>
          </w14:textFill>
        </w:rPr>
        <w:t>条</w:t>
      </w:r>
      <w:r>
        <w:rPr>
          <w:rFonts w:hint="eastAsia" w:ascii="黑体" w:hAnsi="黑体" w:eastAsia="黑体" w:cs="黑体"/>
          <w:color w:val="000000" w:themeColor="text1"/>
          <w:sz w:val="30"/>
          <w:szCs w:val="30"/>
          <w:highlight w:val="none"/>
          <w14:textFill>
            <w14:solidFill>
              <w14:schemeClr w14:val="tx1"/>
            </w14:solidFill>
          </w14:textFill>
        </w:rPr>
        <w:t xml:space="preserve"> </w:t>
      </w:r>
      <w:r>
        <w:rPr>
          <w:rFonts w:hint="eastAsia" w:ascii="仿宋_GB2312" w:hAnsi="仿宋_GB2312" w:eastAsia="仿宋_GB2312" w:cs="仿宋_GB2312"/>
          <w:color w:val="000000" w:themeColor="text1"/>
          <w:sz w:val="30"/>
          <w:szCs w:val="30"/>
          <w:highlight w:val="none"/>
          <w14:textFill>
            <w14:solidFill>
              <w14:schemeClr w14:val="tx1"/>
            </w14:solidFill>
          </w14:textFill>
        </w:rPr>
        <w:t>在东源县拍摄制作横屏网络微短剧作品实际发生的交通费用（含国内</w:t>
      </w:r>
      <w:r>
        <w:rPr>
          <w:rFonts w:hint="eastAsia" w:ascii="仿宋" w:hAnsi="仿宋" w:eastAsia="仿宋" w:cs="微软雅黑"/>
          <w:color w:val="000000" w:themeColor="text1"/>
          <w:sz w:val="30"/>
          <w:szCs w:val="30"/>
          <w:highlight w:val="none"/>
          <w14:textFill>
            <w14:solidFill>
              <w14:schemeClr w14:val="tx1"/>
            </w14:solidFill>
          </w14:textFill>
        </w:rPr>
        <w:t>航班</w:t>
      </w:r>
      <w:r>
        <w:rPr>
          <w:rFonts w:hint="eastAsia" w:ascii="仿宋" w:hAnsi="仿宋" w:eastAsia="仿宋" w:cs="仿宋_GB2312"/>
          <w:color w:val="000000" w:themeColor="text1"/>
          <w:sz w:val="30"/>
          <w:szCs w:val="30"/>
          <w:highlight w:val="none"/>
          <w14:textFill>
            <w14:solidFill>
              <w14:schemeClr w14:val="tx1"/>
            </w14:solidFill>
          </w14:textFill>
        </w:rPr>
        <w:t>、</w:t>
      </w:r>
      <w:r>
        <w:rPr>
          <w:rFonts w:hint="eastAsia" w:ascii="仿宋" w:hAnsi="仿宋" w:eastAsia="仿宋" w:cs="微软雅黑"/>
          <w:color w:val="000000" w:themeColor="text1"/>
          <w:sz w:val="30"/>
          <w:szCs w:val="30"/>
          <w:highlight w:val="none"/>
          <w14:textFill>
            <w14:solidFill>
              <w14:schemeClr w14:val="tx1"/>
            </w14:solidFill>
          </w14:textFill>
        </w:rPr>
        <w:t>铁</w:t>
      </w:r>
      <w:r>
        <w:rPr>
          <w:rFonts w:hint="eastAsia" w:ascii="仿宋" w:hAnsi="仿宋" w:eastAsia="仿宋" w:cs="___WRD_EMBED_SUB_46"/>
          <w:color w:val="000000" w:themeColor="text1"/>
          <w:sz w:val="30"/>
          <w:szCs w:val="30"/>
          <w:highlight w:val="none"/>
          <w14:textFill>
            <w14:solidFill>
              <w14:schemeClr w14:val="tx1"/>
            </w14:solidFill>
          </w14:textFill>
        </w:rPr>
        <w:t>路</w:t>
      </w:r>
      <w:r>
        <w:rPr>
          <w:rFonts w:hint="eastAsia" w:ascii="仿宋" w:hAnsi="仿宋" w:eastAsia="仿宋" w:cs="仿宋_GB2312"/>
          <w:color w:val="000000" w:themeColor="text1"/>
          <w:sz w:val="30"/>
          <w:szCs w:val="30"/>
          <w:highlight w:val="none"/>
          <w14:textFill>
            <w14:solidFill>
              <w14:schemeClr w14:val="tx1"/>
            </w14:solidFill>
          </w14:textFill>
        </w:rPr>
        <w:t>、</w:t>
      </w:r>
      <w:r>
        <w:rPr>
          <w:rFonts w:hint="eastAsia" w:ascii="仿宋" w:hAnsi="仿宋" w:eastAsia="仿宋" w:cs="微软雅黑"/>
          <w:color w:val="000000" w:themeColor="text1"/>
          <w:sz w:val="30"/>
          <w:szCs w:val="30"/>
          <w:highlight w:val="none"/>
          <w14:textFill>
            <w14:solidFill>
              <w14:schemeClr w14:val="tx1"/>
            </w14:solidFill>
          </w14:textFill>
        </w:rPr>
        <w:t>轮船</w:t>
      </w:r>
      <w:r>
        <w:rPr>
          <w:rFonts w:hint="eastAsia" w:ascii="仿宋" w:hAnsi="仿宋" w:eastAsia="仿宋" w:cs="仿宋_GB2312"/>
          <w:color w:val="000000" w:themeColor="text1"/>
          <w:sz w:val="30"/>
          <w:szCs w:val="30"/>
          <w:highlight w:val="none"/>
          <w14:textFill>
            <w14:solidFill>
              <w14:schemeClr w14:val="tx1"/>
            </w14:solidFill>
          </w14:textFill>
        </w:rPr>
        <w:t>、</w:t>
      </w:r>
      <w:r>
        <w:rPr>
          <w:rFonts w:hint="eastAsia" w:ascii="仿宋_GB2312" w:hAnsi="仿宋_GB2312" w:eastAsia="仿宋_GB2312" w:cs="仿宋_GB2312"/>
          <w:color w:val="000000" w:themeColor="text1"/>
          <w:sz w:val="30"/>
          <w:szCs w:val="30"/>
          <w:highlight w:val="none"/>
          <w14:textFill>
            <w14:solidFill>
              <w14:schemeClr w14:val="tx1"/>
            </w14:solidFill>
          </w14:textFill>
        </w:rPr>
        <w:t>公路等），正片在视频网站（爱奇艺、腾讯、优酷、芒果TV等）上线播出后，按照实际发生的交通费给予制作方拍摄补助，每家企业每年最高不超过100万元</w:t>
      </w:r>
      <w:r>
        <w:rPr>
          <w:rStyle w:val="10"/>
          <w:rFonts w:hint="eastAsia" w:ascii="仿宋_GB2312" w:hAnsi="仿宋_GB2312" w:eastAsia="仿宋_GB2312" w:cs="仿宋_GB2312"/>
          <w:color w:val="000000" w:themeColor="text1"/>
          <w:sz w:val="32"/>
          <w:szCs w:val="36"/>
          <w:highlight w:val="none"/>
          <w14:textFill>
            <w14:solidFill>
              <w14:schemeClr w14:val="tx1"/>
            </w14:solidFill>
          </w14:textFill>
        </w:rPr>
        <w:footnoteReference w:id="7"/>
      </w:r>
      <w:r>
        <w:rPr>
          <w:rFonts w:hint="eastAsia" w:ascii="仿宋_GB2312" w:hAnsi="仿宋_GB2312" w:eastAsia="仿宋_GB2312" w:cs="仿宋_GB2312"/>
          <w:color w:val="000000" w:themeColor="text1"/>
          <w:sz w:val="30"/>
          <w:szCs w:val="30"/>
          <w:highlight w:val="none"/>
          <w14:textFill>
            <w14:solidFill>
              <w14:schemeClr w14:val="tx1"/>
            </w14:solidFill>
          </w14:textFill>
        </w:rPr>
        <w:t>。</w:t>
      </w:r>
    </w:p>
    <w:p w14:paraId="7994239F">
      <w:pPr>
        <w:spacing w:after="93" w:afterLines="30" w:line="480" w:lineRule="exact"/>
        <w:ind w:firstLine="602" w:firstLineChars="200"/>
        <w:rPr>
          <w:rFonts w:hint="eastAsia" w:ascii="仿宋_GB2312" w:hAnsi="仿宋_GB2312" w:eastAsia="仿宋_GB2312" w:cs="仿宋_GB2312"/>
          <w:color w:val="000000" w:themeColor="text1"/>
          <w:sz w:val="30"/>
          <w:szCs w:val="30"/>
          <w:highlight w:val="none"/>
          <w14:textFill>
            <w14:solidFill>
              <w14:schemeClr w14:val="tx1"/>
            </w14:solidFill>
          </w14:textFill>
        </w:rPr>
      </w:pPr>
      <w:r>
        <w:rPr>
          <w:rFonts w:hint="eastAsia" w:ascii="仿宋_GB2312" w:hAnsi="仿宋_GB2312" w:eastAsia="仿宋_GB2312" w:cs="仿宋_GB2312"/>
          <w:b/>
          <w:bCs/>
          <w:color w:val="000000" w:themeColor="text1"/>
          <w:sz w:val="30"/>
          <w:szCs w:val="30"/>
          <w:highlight w:val="none"/>
          <w14:textFill>
            <w14:solidFill>
              <w14:schemeClr w14:val="tx1"/>
            </w14:solidFill>
          </w14:textFill>
        </w:rPr>
        <w:t>第</w:t>
      </w:r>
      <w:r>
        <w:rPr>
          <w:rFonts w:hint="eastAsia" w:ascii="仿宋_GB2312" w:hAnsi="仿宋_GB2312" w:eastAsia="仿宋_GB2312" w:cs="仿宋_GB2312"/>
          <w:b/>
          <w:bCs/>
          <w:color w:val="000000" w:themeColor="text1"/>
          <w:sz w:val="30"/>
          <w:szCs w:val="30"/>
          <w:highlight w:val="none"/>
          <w:lang w:val="en-US" w:eastAsia="zh-CN"/>
          <w14:textFill>
            <w14:solidFill>
              <w14:schemeClr w14:val="tx1"/>
            </w14:solidFill>
          </w14:textFill>
        </w:rPr>
        <w:t>七</w:t>
      </w:r>
      <w:r>
        <w:rPr>
          <w:rFonts w:hint="eastAsia" w:ascii="仿宋_GB2312" w:hAnsi="仿宋_GB2312" w:eastAsia="仿宋_GB2312" w:cs="仿宋_GB2312"/>
          <w:b/>
          <w:bCs/>
          <w:color w:val="000000" w:themeColor="text1"/>
          <w:sz w:val="30"/>
          <w:szCs w:val="30"/>
          <w:highlight w:val="none"/>
          <w14:textFill>
            <w14:solidFill>
              <w14:schemeClr w14:val="tx1"/>
            </w14:solidFill>
          </w14:textFill>
        </w:rPr>
        <w:t xml:space="preserve">条 </w:t>
      </w:r>
      <w:r>
        <w:rPr>
          <w:rFonts w:hint="eastAsia" w:ascii="仿宋_GB2312" w:hAnsi="仿宋_GB2312" w:eastAsia="仿宋_GB2312" w:cs="仿宋_GB2312"/>
          <w:color w:val="000000" w:themeColor="text1"/>
          <w:sz w:val="30"/>
          <w:szCs w:val="30"/>
          <w:highlight w:val="none"/>
          <w14:textFill>
            <w14:solidFill>
              <w14:schemeClr w14:val="tx1"/>
            </w14:solidFill>
          </w14:textFill>
        </w:rPr>
        <w:t>在拍摄制作竖屏网络微短剧作品实际发生的交通费用（含国内</w:t>
      </w:r>
      <w:r>
        <w:rPr>
          <w:rFonts w:hint="eastAsia" w:ascii="仿宋" w:hAnsi="仿宋" w:eastAsia="仿宋" w:cs="微软雅黑"/>
          <w:color w:val="000000" w:themeColor="text1"/>
          <w:sz w:val="30"/>
          <w:szCs w:val="30"/>
          <w:highlight w:val="none"/>
          <w14:textFill>
            <w14:solidFill>
              <w14:schemeClr w14:val="tx1"/>
            </w14:solidFill>
          </w14:textFill>
        </w:rPr>
        <w:t>航班</w:t>
      </w:r>
      <w:r>
        <w:rPr>
          <w:rFonts w:hint="eastAsia" w:ascii="仿宋" w:hAnsi="仿宋" w:eastAsia="仿宋" w:cs="仿宋_GB2312"/>
          <w:color w:val="000000" w:themeColor="text1"/>
          <w:sz w:val="30"/>
          <w:szCs w:val="30"/>
          <w:highlight w:val="none"/>
          <w14:textFill>
            <w14:solidFill>
              <w14:schemeClr w14:val="tx1"/>
            </w14:solidFill>
          </w14:textFill>
        </w:rPr>
        <w:t>、</w:t>
      </w:r>
      <w:r>
        <w:rPr>
          <w:rFonts w:hint="eastAsia" w:ascii="仿宋" w:hAnsi="仿宋" w:eastAsia="仿宋" w:cs="微软雅黑"/>
          <w:color w:val="000000" w:themeColor="text1"/>
          <w:sz w:val="30"/>
          <w:szCs w:val="30"/>
          <w:highlight w:val="none"/>
          <w14:textFill>
            <w14:solidFill>
              <w14:schemeClr w14:val="tx1"/>
            </w14:solidFill>
          </w14:textFill>
        </w:rPr>
        <w:t>铁</w:t>
      </w:r>
      <w:r>
        <w:rPr>
          <w:rFonts w:hint="eastAsia" w:ascii="仿宋" w:hAnsi="仿宋" w:eastAsia="仿宋" w:cs="___WRD_EMBED_SUB_46"/>
          <w:color w:val="000000" w:themeColor="text1"/>
          <w:sz w:val="30"/>
          <w:szCs w:val="30"/>
          <w:highlight w:val="none"/>
          <w14:textFill>
            <w14:solidFill>
              <w14:schemeClr w14:val="tx1"/>
            </w14:solidFill>
          </w14:textFill>
        </w:rPr>
        <w:t>路</w:t>
      </w:r>
      <w:r>
        <w:rPr>
          <w:rFonts w:hint="eastAsia" w:ascii="仿宋" w:hAnsi="仿宋" w:eastAsia="仿宋" w:cs="仿宋_GB2312"/>
          <w:color w:val="000000" w:themeColor="text1"/>
          <w:sz w:val="30"/>
          <w:szCs w:val="30"/>
          <w:highlight w:val="none"/>
          <w14:textFill>
            <w14:solidFill>
              <w14:schemeClr w14:val="tx1"/>
            </w14:solidFill>
          </w14:textFill>
        </w:rPr>
        <w:t>、</w:t>
      </w:r>
      <w:r>
        <w:rPr>
          <w:rFonts w:hint="eastAsia" w:ascii="仿宋" w:hAnsi="仿宋" w:eastAsia="仿宋" w:cs="微软雅黑"/>
          <w:color w:val="000000" w:themeColor="text1"/>
          <w:sz w:val="30"/>
          <w:szCs w:val="30"/>
          <w:highlight w:val="none"/>
          <w14:textFill>
            <w14:solidFill>
              <w14:schemeClr w14:val="tx1"/>
            </w14:solidFill>
          </w14:textFill>
        </w:rPr>
        <w:t>轮船</w:t>
      </w:r>
      <w:r>
        <w:rPr>
          <w:rFonts w:hint="eastAsia" w:ascii="仿宋" w:hAnsi="仿宋" w:eastAsia="仿宋" w:cs="仿宋_GB2312"/>
          <w:color w:val="000000" w:themeColor="text1"/>
          <w:sz w:val="30"/>
          <w:szCs w:val="30"/>
          <w:highlight w:val="none"/>
          <w14:textFill>
            <w14:solidFill>
              <w14:schemeClr w14:val="tx1"/>
            </w14:solidFill>
          </w14:textFill>
        </w:rPr>
        <w:t>、</w:t>
      </w:r>
      <w:r>
        <w:rPr>
          <w:rFonts w:hint="eastAsia" w:ascii="仿宋_GB2312" w:hAnsi="仿宋_GB2312" w:eastAsia="仿宋_GB2312" w:cs="仿宋_GB2312"/>
          <w:color w:val="000000" w:themeColor="text1"/>
          <w:sz w:val="30"/>
          <w:szCs w:val="30"/>
          <w:highlight w:val="none"/>
          <w14:textFill>
            <w14:solidFill>
              <w14:schemeClr w14:val="tx1"/>
            </w14:solidFill>
          </w14:textFill>
        </w:rPr>
        <w:t>公路等），在短视频平台（抖音、快手、淘宝逛逛等）上线播出后，按照实际发生的交通费给予制作方拍摄补助，每家企业每年最高不超过100万元</w:t>
      </w:r>
      <w:r>
        <w:rPr>
          <w:rStyle w:val="10"/>
          <w:rFonts w:hint="eastAsia" w:ascii="仿宋_GB2312" w:hAnsi="仿宋_GB2312" w:eastAsia="仿宋_GB2312" w:cs="仿宋_GB2312"/>
          <w:color w:val="000000" w:themeColor="text1"/>
          <w:sz w:val="30"/>
          <w:szCs w:val="30"/>
          <w:highlight w:val="none"/>
          <w14:textFill>
            <w14:solidFill>
              <w14:schemeClr w14:val="tx1"/>
            </w14:solidFill>
          </w14:textFill>
        </w:rPr>
        <w:footnoteReference w:id="8"/>
      </w:r>
      <w:r>
        <w:rPr>
          <w:rFonts w:hint="eastAsia" w:ascii="仿宋_GB2312" w:hAnsi="仿宋_GB2312" w:eastAsia="仿宋_GB2312" w:cs="仿宋_GB2312"/>
          <w:color w:val="000000" w:themeColor="text1"/>
          <w:sz w:val="30"/>
          <w:szCs w:val="30"/>
          <w:highlight w:val="none"/>
          <w14:textFill>
            <w14:solidFill>
              <w14:schemeClr w14:val="tx1"/>
            </w14:solidFill>
          </w14:textFill>
        </w:rPr>
        <w:t>。</w:t>
      </w:r>
    </w:p>
    <w:p w14:paraId="1FF709B1">
      <w:pPr>
        <w:spacing w:after="93" w:afterLines="30" w:line="480" w:lineRule="exact"/>
        <w:ind w:firstLine="600" w:firstLineChars="200"/>
        <w:rPr>
          <w:rFonts w:hint="eastAsia" w:ascii="仿宋_GB2312" w:hAnsi="仿宋_GB2312" w:eastAsia="仿宋_GB2312" w:cs="仿宋_GB2312"/>
          <w:b w:val="0"/>
          <w:bCs w:val="0"/>
          <w:color w:val="000000" w:themeColor="text1"/>
          <w:sz w:val="30"/>
          <w:szCs w:val="30"/>
          <w:highlight w:val="none"/>
          <w14:textFill>
            <w14:solidFill>
              <w14:schemeClr w14:val="tx1"/>
            </w14:solidFill>
          </w14:textFill>
        </w:rPr>
      </w:pPr>
      <w:r>
        <w:rPr>
          <w:rFonts w:hint="eastAsia" w:ascii="仿宋_GB2312" w:hAnsi="仿宋_GB2312" w:eastAsia="仿宋_GB2312" w:cs="仿宋_GB2312"/>
          <w:color w:val="000000" w:themeColor="text1"/>
          <w:sz w:val="30"/>
          <w:szCs w:val="30"/>
          <w:highlight w:val="none"/>
          <w:lang w:val="en-US" w:eastAsia="zh-CN"/>
          <w14:textFill>
            <w14:solidFill>
              <w14:schemeClr w14:val="tx1"/>
            </w14:solidFill>
          </w14:textFill>
        </w:rPr>
        <w:t>第八条 制作方根据本规定第四条至第七条申请补助的，由广东省新丰江林业管理局、河源新丰江万绿湖风景区管委会审核后向县财政局申请补助款项。</w:t>
      </w:r>
      <w:r>
        <w:rPr>
          <w:rFonts w:hint="eastAsia" w:ascii="仿宋_GB2312" w:hAnsi="仿宋_GB2312" w:eastAsia="仿宋_GB2312" w:cs="仿宋_GB2312"/>
          <w:b w:val="0"/>
          <w:bCs w:val="0"/>
          <w:i w:val="0"/>
          <w:iCs w:val="0"/>
          <w:caps w:val="0"/>
          <w:color w:val="000000" w:themeColor="text1"/>
          <w:spacing w:val="0"/>
          <w:sz w:val="30"/>
          <w:szCs w:val="30"/>
          <w:highlight w:val="none"/>
          <w:shd w:val="clear" w:fill="auto"/>
          <w:lang w:val="en-US" w:eastAsia="zh-CN"/>
          <w14:textFill>
            <w14:solidFill>
              <w14:schemeClr w14:val="tx1"/>
            </w14:solidFill>
          </w14:textFill>
        </w:rPr>
        <w:t>鼓励</w:t>
      </w:r>
      <w:r>
        <w:rPr>
          <w:rFonts w:hint="eastAsia" w:ascii="仿宋_GB2312" w:hAnsi="仿宋_GB2312" w:eastAsia="仿宋_GB2312" w:cs="仿宋_GB2312"/>
          <w:b w:val="0"/>
          <w:bCs w:val="0"/>
          <w:i w:val="0"/>
          <w:iCs w:val="0"/>
          <w:color w:val="000000" w:themeColor="text1"/>
          <w:sz w:val="30"/>
          <w:szCs w:val="30"/>
          <w:highlight w:val="none"/>
          <w14:textFill>
            <w14:solidFill>
              <w14:schemeClr w14:val="tx1"/>
            </w14:solidFill>
          </w14:textFill>
        </w:rPr>
        <w:t>制作方</w:t>
      </w:r>
      <w:r>
        <w:rPr>
          <w:rFonts w:hint="eastAsia" w:ascii="仿宋_GB2312" w:hAnsi="仿宋_GB2312" w:eastAsia="仿宋_GB2312" w:cs="仿宋_GB2312"/>
          <w:b w:val="0"/>
          <w:bCs w:val="0"/>
          <w:i w:val="0"/>
          <w:iCs w:val="0"/>
          <w:color w:val="000000" w:themeColor="text1"/>
          <w:sz w:val="30"/>
          <w:szCs w:val="30"/>
          <w:highlight w:val="none"/>
          <w:lang w:val="en-US" w:eastAsia="zh-CN"/>
          <w14:textFill>
            <w14:solidFill>
              <w14:schemeClr w14:val="tx1"/>
            </w14:solidFill>
          </w14:textFill>
        </w:rPr>
        <w:t>在东源县</w:t>
      </w:r>
      <w:r>
        <w:rPr>
          <w:rFonts w:hint="eastAsia" w:ascii="仿宋_GB2312" w:hAnsi="仿宋_GB2312" w:eastAsia="仿宋_GB2312" w:cs="仿宋_GB2312"/>
          <w:b w:val="0"/>
          <w:bCs w:val="0"/>
          <w:i w:val="0"/>
          <w:iCs w:val="0"/>
          <w:color w:val="000000" w:themeColor="text1"/>
          <w:sz w:val="30"/>
          <w:szCs w:val="30"/>
          <w:highlight w:val="none"/>
          <w14:textFill>
            <w14:solidFill>
              <w14:schemeClr w14:val="tx1"/>
            </w14:solidFill>
          </w14:textFill>
        </w:rPr>
        <w:t>微短剧影视产业基地（产业园）</w:t>
      </w:r>
      <w:r>
        <w:rPr>
          <w:rFonts w:hint="eastAsia" w:ascii="仿宋_GB2312" w:hAnsi="仿宋_GB2312" w:eastAsia="仿宋_GB2312" w:cs="仿宋_GB2312"/>
          <w:b w:val="0"/>
          <w:bCs w:val="0"/>
          <w:i w:val="0"/>
          <w:iCs w:val="0"/>
          <w:color w:val="000000" w:themeColor="text1"/>
          <w:sz w:val="30"/>
          <w:szCs w:val="30"/>
          <w:highlight w:val="none"/>
          <w:lang w:val="en-US" w:eastAsia="zh-CN"/>
          <w14:textFill>
            <w14:solidFill>
              <w14:schemeClr w14:val="tx1"/>
            </w14:solidFill>
          </w14:textFill>
        </w:rPr>
        <w:t>制作</w:t>
      </w:r>
      <w:r>
        <w:rPr>
          <w:rFonts w:hint="eastAsia" w:ascii="仿宋_GB2312" w:hAnsi="仿宋_GB2312" w:eastAsia="仿宋_GB2312" w:cs="仿宋_GB2312"/>
          <w:b w:val="0"/>
          <w:bCs w:val="0"/>
          <w:i w:val="0"/>
          <w:iCs w:val="0"/>
          <w:color w:val="000000" w:themeColor="text1"/>
          <w:sz w:val="30"/>
          <w:szCs w:val="30"/>
          <w:highlight w:val="none"/>
          <w14:textFill>
            <w14:solidFill>
              <w14:schemeClr w14:val="tx1"/>
            </w14:solidFill>
          </w14:textFill>
        </w:rPr>
        <w:t>网络微短剧作品</w:t>
      </w:r>
      <w:r>
        <w:rPr>
          <w:rFonts w:hint="eastAsia" w:ascii="仿宋_GB2312" w:hAnsi="仿宋_GB2312" w:eastAsia="仿宋_GB2312" w:cs="仿宋_GB2312"/>
          <w:b w:val="0"/>
          <w:bCs w:val="0"/>
          <w:i w:val="0"/>
          <w:iCs w:val="0"/>
          <w:color w:val="000000" w:themeColor="text1"/>
          <w:sz w:val="30"/>
          <w:szCs w:val="30"/>
          <w:highlight w:val="none"/>
          <w:lang w:eastAsia="zh-CN"/>
          <w14:textFill>
            <w14:solidFill>
              <w14:schemeClr w14:val="tx1"/>
            </w14:solidFill>
          </w14:textFill>
        </w:rPr>
        <w:t>。</w:t>
      </w:r>
    </w:p>
    <w:p w14:paraId="2DABAC95">
      <w:pPr>
        <w:spacing w:after="93" w:afterLines="30" w:line="480" w:lineRule="exact"/>
        <w:ind w:firstLine="602" w:firstLineChars="200"/>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b/>
          <w:bCs/>
          <w:color w:val="000000" w:themeColor="text1"/>
          <w:sz w:val="30"/>
          <w:szCs w:val="30"/>
          <w:highlight w:val="none"/>
          <w14:textFill>
            <w14:solidFill>
              <w14:schemeClr w14:val="tx1"/>
            </w14:solidFill>
          </w14:textFill>
        </w:rPr>
        <w:t>第</w:t>
      </w:r>
      <w:r>
        <w:rPr>
          <w:rFonts w:hint="eastAsia" w:ascii="仿宋_GB2312" w:hAnsi="仿宋_GB2312" w:eastAsia="仿宋_GB2312" w:cs="仿宋_GB2312"/>
          <w:b/>
          <w:bCs/>
          <w:color w:val="000000" w:themeColor="text1"/>
          <w:sz w:val="30"/>
          <w:szCs w:val="30"/>
          <w:highlight w:val="none"/>
          <w:lang w:val="en-US" w:eastAsia="zh-CN"/>
          <w14:textFill>
            <w14:solidFill>
              <w14:schemeClr w14:val="tx1"/>
            </w14:solidFill>
          </w14:textFill>
        </w:rPr>
        <w:t>九</w:t>
      </w:r>
      <w:r>
        <w:rPr>
          <w:rFonts w:hint="eastAsia" w:ascii="仿宋_GB2312" w:hAnsi="仿宋_GB2312" w:eastAsia="仿宋_GB2312" w:cs="仿宋_GB2312"/>
          <w:b/>
          <w:bCs/>
          <w:color w:val="000000" w:themeColor="text1"/>
          <w:sz w:val="30"/>
          <w:szCs w:val="30"/>
          <w:highlight w:val="none"/>
          <w14:textFill>
            <w14:solidFill>
              <w14:schemeClr w14:val="tx1"/>
            </w14:solidFill>
          </w14:textFill>
        </w:rPr>
        <w:t xml:space="preserve">条 </w:t>
      </w:r>
      <w:r>
        <w:rPr>
          <w:rFonts w:hint="eastAsia" w:ascii="仿宋_GB2312" w:hAnsi="仿宋_GB2312" w:eastAsia="仿宋_GB2312" w:cs="仿宋_GB2312"/>
          <w:b w:val="0"/>
          <w:bCs w:val="0"/>
          <w:color w:val="000000" w:themeColor="text1"/>
          <w:sz w:val="30"/>
          <w:szCs w:val="30"/>
          <w:highlight w:val="none"/>
          <w:lang w:val="en-US" w:eastAsia="zh-CN"/>
          <w14:textFill>
            <w14:solidFill>
              <w14:schemeClr w14:val="tx1"/>
            </w14:solidFill>
          </w14:textFill>
        </w:rPr>
        <w:t>作品</w:t>
      </w:r>
      <w:r>
        <w:rPr>
          <w:rFonts w:hint="eastAsia" w:ascii="仿宋_GB2312" w:hAnsi="仿宋_GB2312" w:eastAsia="仿宋_GB2312" w:cs="仿宋_GB2312"/>
          <w:color w:val="000000" w:themeColor="text1"/>
          <w:sz w:val="30"/>
          <w:szCs w:val="30"/>
          <w:highlight w:val="none"/>
          <w14:textFill>
            <w14:solidFill>
              <w14:schemeClr w14:val="tx1"/>
            </w14:solidFill>
          </w14:textFill>
        </w:rPr>
        <w:t>在东源立项备案的横屏网络微短剧，获得</w:t>
      </w:r>
      <w:r>
        <w:rPr>
          <w:rFonts w:hint="eastAsia" w:ascii="仿宋_GB2312" w:hAnsi="仿宋_GB2312" w:eastAsia="仿宋_GB2312" w:cs="仿宋_GB2312"/>
          <w:color w:val="000000" w:themeColor="text1"/>
          <w:sz w:val="30"/>
          <w:szCs w:val="30"/>
          <w14:textFill>
            <w14:solidFill>
              <w14:schemeClr w14:val="tx1"/>
            </w14:solidFill>
          </w14:textFill>
        </w:rPr>
        <w:t>广东省《网络剧片发行许可证》，且正片在视频网站（爱奇艺、腾讯、优酷、芒果TV等）上线播出的，单集平均有效播放超过70万播放量，给予第一出品方每部最高8万元扶持奖励；单集平均有效播放超过85万播放量，给予第一出品方每部最高12万元扶持奖励；单集平均有效播放超过100万播放量的作品，给予第一出品方每部最高15万元扶持奖励</w:t>
      </w:r>
      <w:r>
        <w:rPr>
          <w:rStyle w:val="10"/>
          <w:rFonts w:hint="eastAsia" w:ascii="仿宋_GB2312" w:hAnsi="仿宋_GB2312" w:eastAsia="仿宋_GB2312" w:cs="仿宋_GB2312"/>
          <w:color w:val="000000" w:themeColor="text1"/>
          <w:sz w:val="30"/>
          <w:szCs w:val="30"/>
          <w14:textFill>
            <w14:solidFill>
              <w14:schemeClr w14:val="tx1"/>
            </w14:solidFill>
          </w14:textFill>
        </w:rPr>
        <w:footnoteReference w:id="9"/>
      </w:r>
      <w:r>
        <w:rPr>
          <w:rFonts w:hint="eastAsia" w:ascii="仿宋_GB2312" w:hAnsi="仿宋_GB2312" w:eastAsia="仿宋_GB2312" w:cs="仿宋_GB2312"/>
          <w:color w:val="000000" w:themeColor="text1"/>
          <w:sz w:val="30"/>
          <w:szCs w:val="30"/>
          <w14:textFill>
            <w14:solidFill>
              <w14:schemeClr w14:val="tx1"/>
            </w14:solidFill>
          </w14:textFill>
        </w:rPr>
        <w:t>。同一部横屏网络微短剧在多个平台或多个账号播放的，以播放量最高的平台或账号为准，不累计。</w:t>
      </w:r>
    </w:p>
    <w:p w14:paraId="0455B5C6">
      <w:pPr>
        <w:spacing w:after="93" w:afterLines="30" w:line="480" w:lineRule="exact"/>
        <w:ind w:firstLine="602" w:firstLineChars="200"/>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b/>
          <w:bCs/>
          <w:color w:val="000000" w:themeColor="text1"/>
          <w:sz w:val="30"/>
          <w:szCs w:val="30"/>
          <w14:textFill>
            <w14:solidFill>
              <w14:schemeClr w14:val="tx1"/>
            </w14:solidFill>
          </w14:textFill>
        </w:rPr>
        <w:t>第</w:t>
      </w: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十</w:t>
      </w:r>
      <w:r>
        <w:rPr>
          <w:rFonts w:hint="eastAsia" w:ascii="仿宋_GB2312" w:hAnsi="仿宋_GB2312" w:eastAsia="仿宋_GB2312" w:cs="仿宋_GB2312"/>
          <w:b/>
          <w:bCs/>
          <w:color w:val="000000" w:themeColor="text1"/>
          <w:sz w:val="30"/>
          <w:szCs w:val="30"/>
          <w14:textFill>
            <w14:solidFill>
              <w14:schemeClr w14:val="tx1"/>
            </w14:solidFill>
          </w14:textFill>
        </w:rPr>
        <w:t>条</w:t>
      </w:r>
      <w:r>
        <w:rPr>
          <w:rFonts w:hint="eastAsia" w:ascii="黑体" w:hAnsi="黑体" w:eastAsia="黑体" w:cs="黑体"/>
          <w:color w:val="000000" w:themeColor="text1"/>
          <w:sz w:val="30"/>
          <w:szCs w:val="30"/>
          <w14:textFill>
            <w14:solidFill>
              <w14:schemeClr w14:val="tx1"/>
            </w14:solidFill>
          </w14:textFill>
        </w:rPr>
        <w:t xml:space="preserve"> </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作品</w:t>
      </w:r>
      <w:r>
        <w:rPr>
          <w:rFonts w:hint="eastAsia" w:ascii="仿宋_GB2312" w:hAnsi="仿宋_GB2312" w:eastAsia="仿宋_GB2312" w:cs="仿宋_GB2312"/>
          <w:color w:val="000000" w:themeColor="text1"/>
          <w:sz w:val="30"/>
          <w:szCs w:val="30"/>
          <w14:textFill>
            <w14:solidFill>
              <w14:schemeClr w14:val="tx1"/>
            </w14:solidFill>
          </w14:textFill>
        </w:rPr>
        <w:t>在东源立项备案的竖屏网络微短剧正片在短视频平台（抖音、快手、淘宝逛逛等）上线播出，并且单一账号播放量超过1亿，给予第一出品方每部最高5万元扶持奖励；单一账号播放超过2亿，给予第一出品方每部最高8万元扶持奖励；单一账号播放超过3亿，给予第一出品方每部最高10万元扶持奖励。同一部竖屏网络微短剧在多个平台或多个账号播放的，以播放量最高的平台或账号为准，不累计</w:t>
      </w:r>
      <w:r>
        <w:rPr>
          <w:rStyle w:val="10"/>
          <w:rFonts w:hint="eastAsia" w:ascii="仿宋_GB2312" w:hAnsi="仿宋_GB2312" w:eastAsia="仿宋_GB2312" w:cs="仿宋_GB2312"/>
          <w:color w:val="000000" w:themeColor="text1"/>
          <w:sz w:val="30"/>
          <w:szCs w:val="30"/>
          <w14:textFill>
            <w14:solidFill>
              <w14:schemeClr w14:val="tx1"/>
            </w14:solidFill>
          </w14:textFill>
        </w:rPr>
        <w:footnoteReference w:id="10"/>
      </w:r>
      <w:r>
        <w:rPr>
          <w:rFonts w:hint="eastAsia" w:ascii="仿宋_GB2312" w:hAnsi="仿宋_GB2312" w:eastAsia="仿宋_GB2312" w:cs="仿宋_GB2312"/>
          <w:color w:val="000000" w:themeColor="text1"/>
          <w:sz w:val="30"/>
          <w:szCs w:val="30"/>
          <w14:textFill>
            <w14:solidFill>
              <w14:schemeClr w14:val="tx1"/>
            </w14:solidFill>
          </w14:textFill>
        </w:rPr>
        <w:t>。</w:t>
      </w:r>
    </w:p>
    <w:p w14:paraId="3E50454E">
      <w:pPr>
        <w:spacing w:after="93" w:afterLines="30" w:line="480" w:lineRule="exact"/>
        <w:ind w:firstLine="602" w:firstLineChars="200"/>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b/>
          <w:bCs/>
          <w:color w:val="000000" w:themeColor="text1"/>
          <w:sz w:val="30"/>
          <w:szCs w:val="30"/>
          <w14:textFill>
            <w14:solidFill>
              <w14:schemeClr w14:val="tx1"/>
            </w14:solidFill>
          </w14:textFill>
        </w:rPr>
        <w:t>第十</w:t>
      </w: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一</w:t>
      </w:r>
      <w:r>
        <w:rPr>
          <w:rFonts w:hint="eastAsia" w:ascii="仿宋_GB2312" w:hAnsi="仿宋_GB2312" w:eastAsia="仿宋_GB2312" w:cs="仿宋_GB2312"/>
          <w:b/>
          <w:bCs/>
          <w:color w:val="000000" w:themeColor="text1"/>
          <w:sz w:val="30"/>
          <w:szCs w:val="30"/>
          <w14:textFill>
            <w14:solidFill>
              <w14:schemeClr w14:val="tx1"/>
            </w14:solidFill>
          </w14:textFill>
        </w:rPr>
        <w:t>条</w:t>
      </w:r>
      <w:r>
        <w:rPr>
          <w:rFonts w:hint="eastAsia" w:ascii="仿宋_GB2312" w:hAnsi="仿宋_GB2312" w:eastAsia="仿宋_GB2312" w:cs="仿宋_GB2312"/>
          <w:color w:val="000000" w:themeColor="text1"/>
          <w:sz w:val="30"/>
          <w:szCs w:val="30"/>
          <w14:textFill>
            <w14:solidFill>
              <w14:schemeClr w14:val="tx1"/>
            </w14:solidFill>
          </w14:textFill>
        </w:rPr>
        <w:t xml:space="preserve"> 鼓励围绕体现社会主义核心价值观、弘扬传统文化等题材策划创作精品网络微短剧。对获得全国常设性文艺奖项等荣誉的作品、符合</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前述</w:t>
      </w:r>
      <w:r>
        <w:rPr>
          <w:rFonts w:hint="eastAsia" w:ascii="仿宋_GB2312" w:hAnsi="仿宋_GB2312" w:eastAsia="仿宋_GB2312" w:cs="仿宋_GB2312"/>
          <w:color w:val="000000" w:themeColor="text1"/>
          <w:sz w:val="30"/>
          <w:szCs w:val="30"/>
          <w14:textFill>
            <w14:solidFill>
              <w14:schemeClr w14:val="tx1"/>
            </w14:solidFill>
          </w14:textFill>
        </w:rPr>
        <w:t>导向的网络微短剧项目或根据重要宣传节点和国家广播电视总局扶持倡导的规划选题创作的特别项目，提供最高200万元的资金扶持</w:t>
      </w:r>
      <w:r>
        <w:rPr>
          <w:rStyle w:val="10"/>
          <w:rFonts w:hint="eastAsia" w:ascii="仿宋_GB2312" w:hAnsi="仿宋_GB2312" w:eastAsia="仿宋_GB2312" w:cs="仿宋_GB2312"/>
          <w:color w:val="000000" w:themeColor="text1"/>
          <w:sz w:val="30"/>
          <w:szCs w:val="30"/>
          <w14:textFill>
            <w14:solidFill>
              <w14:schemeClr w14:val="tx1"/>
            </w14:solidFill>
          </w14:textFill>
        </w:rPr>
        <w:footnoteReference w:id="11"/>
      </w:r>
      <w:r>
        <w:rPr>
          <w:rFonts w:hint="eastAsia" w:ascii="仿宋_GB2312" w:hAnsi="仿宋_GB2312" w:eastAsia="仿宋_GB2312" w:cs="仿宋_GB2312"/>
          <w:color w:val="000000" w:themeColor="text1"/>
          <w:sz w:val="30"/>
          <w:szCs w:val="30"/>
          <w14:textFill>
            <w14:solidFill>
              <w14:schemeClr w14:val="tx1"/>
            </w14:solidFill>
          </w14:textFill>
        </w:rPr>
        <w:t>。</w:t>
      </w:r>
      <w:r>
        <w:rPr>
          <w:rFonts w:hint="eastAsia" w:ascii="仿宋_GB2312" w:hAnsi="仿宋_GB2312" w:eastAsia="仿宋_GB2312" w:cs="仿宋_GB2312"/>
          <w:sz w:val="28"/>
          <w:szCs w:val="28"/>
          <w:lang w:val="en-US" w:eastAsia="zh-CN"/>
        </w:rPr>
        <w:t xml:space="preserve"> </w:t>
      </w:r>
    </w:p>
    <w:p w14:paraId="17F4B1A1">
      <w:pPr>
        <w:spacing w:after="93" w:afterLines="30" w:line="480" w:lineRule="exact"/>
        <w:ind w:firstLine="602" w:firstLineChars="200"/>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第十二条</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 xml:space="preserve"> </w:t>
      </w:r>
      <w:r>
        <w:rPr>
          <w:rFonts w:hint="eastAsia" w:ascii="黑体" w:hAnsi="黑体" w:eastAsia="黑体" w:cs="黑体"/>
          <w:color w:val="000000" w:themeColor="text1"/>
          <w:sz w:val="30"/>
          <w:szCs w:val="30"/>
          <w14:textFill>
            <w14:solidFill>
              <w14:schemeClr w14:val="tx1"/>
            </w14:solidFill>
          </w14:textFill>
        </w:rPr>
        <w:t xml:space="preserve"> </w:t>
      </w:r>
      <w:r>
        <w:rPr>
          <w:rFonts w:hint="eastAsia" w:ascii="仿宋_GB2312" w:hAnsi="仿宋_GB2312" w:eastAsia="仿宋_GB2312" w:cs="仿宋_GB2312"/>
          <w:color w:val="000000" w:themeColor="text1"/>
          <w:sz w:val="30"/>
          <w:szCs w:val="30"/>
          <w14:textFill>
            <w14:solidFill>
              <w14:schemeClr w14:val="tx1"/>
            </w14:solidFill>
          </w14:textFill>
        </w:rPr>
        <w:t>设立东源县微短剧产业发展基金，对承制视频网站（如爱奇艺、优酷、腾讯、芒果TV等）定制微短剧的制作企业进行资金引导。</w:t>
      </w:r>
    </w:p>
    <w:p w14:paraId="27FB5E58">
      <w:pPr>
        <w:keepNext w:val="0"/>
        <w:keepLines w:val="0"/>
        <w:pageBreakBefore w:val="0"/>
        <w:widowControl w:val="0"/>
        <w:kinsoku/>
        <w:wordWrap/>
        <w:overflowPunct/>
        <w:topLinePunct w:val="0"/>
        <w:autoSpaceDE/>
        <w:autoSpaceDN/>
        <w:bidi w:val="0"/>
        <w:adjustRightInd/>
        <w:snapToGrid/>
        <w:spacing w:line="620" w:lineRule="exact"/>
        <w:ind w:firstLine="600" w:firstLineChars="200"/>
        <w:textAlignment w:val="auto"/>
        <w:rPr>
          <w:rFonts w:hint="eastAsia" w:ascii="宋体" w:hAnsi="宋体" w:eastAsia="仿宋_GB2312" w:cs="仿宋_GB2312"/>
          <w:b w:val="0"/>
          <w:bCs w:val="0"/>
          <w:color w:val="auto"/>
          <w:sz w:val="30"/>
          <w:szCs w:val="30"/>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第十三条 本工作举措</w:t>
      </w:r>
      <w:r>
        <w:rPr>
          <w:rFonts w:hint="eastAsia" w:ascii="宋体" w:hAnsi="宋体" w:eastAsia="仿宋_GB2312" w:cs="仿宋_GB2312"/>
          <w:b w:val="0"/>
          <w:bCs w:val="0"/>
          <w:color w:val="auto"/>
          <w:sz w:val="30"/>
          <w:szCs w:val="30"/>
        </w:rPr>
        <w:t>自发布之日起</w:t>
      </w:r>
      <w:r>
        <w:rPr>
          <w:rFonts w:hint="eastAsia" w:ascii="宋体" w:hAnsi="宋体" w:eastAsia="仿宋_GB2312" w:cs="仿宋_GB2312"/>
          <w:b w:val="0"/>
          <w:bCs w:val="0"/>
          <w:color w:val="auto"/>
          <w:sz w:val="30"/>
          <w:szCs w:val="30"/>
          <w:lang w:eastAsia="zh-CN"/>
        </w:rPr>
        <w:t>执</w:t>
      </w:r>
      <w:r>
        <w:rPr>
          <w:rFonts w:hint="eastAsia" w:ascii="宋体" w:hAnsi="宋体" w:eastAsia="仿宋_GB2312" w:cs="仿宋_GB2312"/>
          <w:b w:val="0"/>
          <w:bCs w:val="0"/>
          <w:color w:val="auto"/>
          <w:sz w:val="30"/>
          <w:szCs w:val="30"/>
        </w:rPr>
        <w:t>行</w:t>
      </w:r>
      <w:r>
        <w:rPr>
          <w:rFonts w:hint="eastAsia" w:ascii="宋体" w:hAnsi="宋体" w:eastAsia="仿宋_GB2312" w:cs="仿宋_GB2312"/>
          <w:b w:val="0"/>
          <w:bCs w:val="0"/>
          <w:color w:val="auto"/>
          <w:sz w:val="30"/>
          <w:szCs w:val="30"/>
          <w:lang w:eastAsia="zh-CN"/>
        </w:rPr>
        <w:t>，有效期</w:t>
      </w:r>
      <w:r>
        <w:rPr>
          <w:rFonts w:hint="eastAsia" w:ascii="宋体" w:hAnsi="宋体" w:eastAsia="仿宋_GB2312" w:cs="仿宋_GB2312"/>
          <w:b w:val="0"/>
          <w:bCs w:val="0"/>
          <w:color w:val="auto"/>
          <w:sz w:val="30"/>
          <w:szCs w:val="30"/>
          <w:lang w:val="en-US" w:eastAsia="zh-CN"/>
        </w:rPr>
        <w:t>3年</w:t>
      </w:r>
      <w:r>
        <w:rPr>
          <w:rFonts w:hint="eastAsia" w:ascii="宋体" w:hAnsi="宋体" w:eastAsia="仿宋_GB2312" w:cs="仿宋_GB2312"/>
          <w:b w:val="0"/>
          <w:bCs w:val="0"/>
          <w:color w:val="auto"/>
          <w:sz w:val="30"/>
          <w:szCs w:val="30"/>
        </w:rPr>
        <w:t>。</w:t>
      </w:r>
    </w:p>
    <w:p w14:paraId="158CEF03">
      <w:pPr>
        <w:keepNext w:val="0"/>
        <w:keepLines w:val="0"/>
        <w:pageBreakBefore w:val="0"/>
        <w:widowControl w:val="0"/>
        <w:kinsoku/>
        <w:wordWrap/>
        <w:overflowPunct/>
        <w:topLinePunct w:val="0"/>
        <w:autoSpaceDE/>
        <w:autoSpaceDN/>
        <w:bidi w:val="0"/>
        <w:adjustRightInd/>
        <w:snapToGrid/>
        <w:spacing w:line="620" w:lineRule="exact"/>
        <w:ind w:firstLine="600" w:firstLineChars="200"/>
        <w:textAlignment w:val="auto"/>
        <w:rPr>
          <w:rFonts w:hint="eastAsia" w:ascii="宋体" w:hAnsi="宋体" w:eastAsia="仿宋_GB2312" w:cs="仿宋_GB2312"/>
          <w:b w:val="0"/>
          <w:bCs w:val="0"/>
          <w:color w:val="auto"/>
          <w:sz w:val="30"/>
          <w:szCs w:val="30"/>
        </w:rPr>
      </w:pPr>
      <w:r>
        <w:rPr>
          <w:rFonts w:hint="eastAsia" w:ascii="宋体" w:hAnsi="宋体" w:eastAsia="仿宋_GB2312" w:cs="仿宋_GB2312"/>
          <w:b w:val="0"/>
          <w:bCs w:val="0"/>
          <w:color w:val="auto"/>
          <w:sz w:val="30"/>
          <w:szCs w:val="30"/>
          <w:lang w:eastAsia="zh-CN"/>
        </w:rPr>
        <w:t>第十</w:t>
      </w:r>
      <w:r>
        <w:rPr>
          <w:rFonts w:hint="eastAsia" w:ascii="宋体" w:hAnsi="宋体" w:eastAsia="仿宋_GB2312" w:cs="仿宋_GB2312"/>
          <w:b w:val="0"/>
          <w:bCs w:val="0"/>
          <w:color w:val="auto"/>
          <w:sz w:val="30"/>
          <w:szCs w:val="30"/>
          <w:lang w:val="en-US" w:eastAsia="zh-CN"/>
        </w:rPr>
        <w:t>四</w:t>
      </w:r>
      <w:r>
        <w:rPr>
          <w:rFonts w:hint="eastAsia" w:ascii="宋体" w:hAnsi="宋体" w:eastAsia="仿宋_GB2312" w:cs="仿宋_GB2312"/>
          <w:b w:val="0"/>
          <w:bCs w:val="0"/>
          <w:color w:val="auto"/>
          <w:sz w:val="30"/>
          <w:szCs w:val="30"/>
          <w:lang w:eastAsia="zh-CN"/>
        </w:rPr>
        <w:t>条</w:t>
      </w:r>
      <w:r>
        <w:rPr>
          <w:rFonts w:hint="eastAsia" w:ascii="宋体" w:hAnsi="宋体" w:eastAsia="仿宋_GB2312" w:cs="仿宋_GB2312"/>
          <w:b w:val="0"/>
          <w:bCs w:val="0"/>
          <w:color w:val="auto"/>
          <w:sz w:val="30"/>
          <w:szCs w:val="30"/>
          <w:lang w:val="en-US" w:eastAsia="zh-CN"/>
        </w:rPr>
        <w:t xml:space="preserve"> </w:t>
      </w:r>
      <w:r>
        <w:rPr>
          <w:rFonts w:hint="eastAsia" w:ascii="宋体" w:hAnsi="宋体" w:eastAsia="仿宋_GB2312" w:cs="仿宋_GB2312"/>
          <w:b w:val="0"/>
          <w:bCs w:val="0"/>
          <w:color w:val="auto"/>
          <w:sz w:val="30"/>
          <w:szCs w:val="30"/>
        </w:rPr>
        <w:t>本</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工作举措</w:t>
      </w:r>
      <w:r>
        <w:rPr>
          <w:rFonts w:hint="eastAsia" w:ascii="宋体" w:hAnsi="宋体" w:eastAsia="仿宋_GB2312" w:cs="仿宋_GB2312"/>
          <w:b w:val="0"/>
          <w:bCs w:val="0"/>
          <w:color w:val="auto"/>
          <w:sz w:val="30"/>
          <w:szCs w:val="30"/>
        </w:rPr>
        <w:t>由</w:t>
      </w:r>
      <w:r>
        <w:rPr>
          <w:rFonts w:hint="eastAsia" w:ascii="仿宋_GB2312" w:hAnsi="仿宋_GB2312" w:eastAsia="仿宋_GB2312" w:cs="仿宋_GB2312"/>
          <w:color w:val="000000" w:themeColor="text1"/>
          <w:sz w:val="30"/>
          <w:szCs w:val="30"/>
          <w:highlight w:val="none"/>
          <w:lang w:val="en-US" w:eastAsia="zh-CN"/>
          <w14:textFill>
            <w14:solidFill>
              <w14:schemeClr w14:val="tx1"/>
            </w14:solidFill>
          </w14:textFill>
        </w:rPr>
        <w:t>广东省新丰江林业管理局、河源新丰江万绿湖风景区管委会</w:t>
      </w:r>
      <w:bookmarkStart w:id="2" w:name="_GoBack"/>
      <w:bookmarkEnd w:id="2"/>
      <w:r>
        <w:rPr>
          <w:rFonts w:hint="eastAsia" w:ascii="宋体" w:hAnsi="宋体" w:eastAsia="仿宋_GB2312" w:cs="仿宋_GB2312"/>
          <w:b w:val="0"/>
          <w:bCs w:val="0"/>
          <w:color w:val="auto"/>
          <w:sz w:val="30"/>
          <w:szCs w:val="30"/>
        </w:rPr>
        <w:t>负责</w:t>
      </w:r>
      <w:r>
        <w:rPr>
          <w:rFonts w:hint="eastAsia" w:ascii="宋体" w:hAnsi="宋体" w:eastAsia="仿宋_GB2312" w:cs="仿宋_GB2312"/>
          <w:b w:val="0"/>
          <w:bCs w:val="0"/>
          <w:color w:val="auto"/>
          <w:sz w:val="30"/>
          <w:szCs w:val="30"/>
          <w:lang w:val="en-US" w:eastAsia="zh-CN"/>
        </w:rPr>
        <w:t>具体</w:t>
      </w:r>
      <w:r>
        <w:rPr>
          <w:rFonts w:hint="eastAsia" w:ascii="宋体" w:hAnsi="宋体" w:eastAsia="仿宋_GB2312" w:cs="仿宋_GB2312"/>
          <w:b w:val="0"/>
          <w:bCs w:val="0"/>
          <w:color w:val="auto"/>
          <w:sz w:val="30"/>
          <w:szCs w:val="30"/>
        </w:rPr>
        <w:t>解释。</w:t>
      </w:r>
    </w:p>
    <w:p w14:paraId="68DD169B">
      <w:pPr>
        <w:spacing w:after="93" w:afterLines="30" w:line="480" w:lineRule="exact"/>
        <w:ind w:firstLine="600" w:firstLineChars="200"/>
        <w:rPr>
          <w:rFonts w:hint="default" w:ascii="仿宋_GB2312" w:hAnsi="仿宋_GB2312" w:eastAsia="仿宋_GB2312" w:cs="仿宋_GB2312"/>
          <w:color w:val="000000" w:themeColor="text1"/>
          <w:sz w:val="30"/>
          <w:szCs w:val="30"/>
          <w:lang w:val="en-US" w:eastAsia="zh-CN"/>
          <w14:textFill>
            <w14:solidFill>
              <w14:schemeClr w14:val="tx1"/>
            </w14:solidFill>
          </w14:textFill>
        </w:rPr>
      </w:pPr>
    </w:p>
    <w:p w14:paraId="59024EBA">
      <w:pPr>
        <w:spacing w:after="93" w:afterLines="30" w:line="480" w:lineRule="exact"/>
        <w:ind w:firstLine="600" w:firstLineChars="200"/>
        <w:rPr>
          <w:rFonts w:hint="eastAsia" w:ascii="仿宋_GB2312" w:hAnsi="仿宋_GB2312" w:eastAsia="仿宋_GB2312" w:cs="仿宋_GB2312"/>
          <w:color w:val="000000" w:themeColor="text1"/>
          <w:sz w:val="30"/>
          <w:szCs w:val="30"/>
          <w14:textFill>
            <w14:solidFill>
              <w14:schemeClr w14:val="tx1"/>
            </w14:solidFill>
          </w14:textFill>
        </w:rPr>
      </w:pPr>
    </w:p>
    <w:p w14:paraId="7872A0A2">
      <w:pPr>
        <w:spacing w:after="93" w:afterLines="30" w:line="480" w:lineRule="exact"/>
        <w:ind w:firstLine="420" w:firstLineChars="20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Segoe UI">
    <w:panose1 w:val="020B0502040204020203"/>
    <w:charset w:val="00"/>
    <w:family w:val="auto"/>
    <w:pitch w:val="default"/>
    <w:sig w:usb0="E4002EFF" w:usb1="C000E47F"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___WRD_EMBED_SUB_46">
    <w:altName w:val="宋体"/>
    <w:panose1 w:val="02010609030101010101"/>
    <w:charset w:val="86"/>
    <w:family w:val="auto"/>
    <w:pitch w:val="default"/>
    <w:sig w:usb0="00000000" w:usb1="0000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4">
    <w:p>
      <w:r>
        <w:separator/>
      </w:r>
    </w:p>
  </w:footnote>
  <w:footnote w:type="continuationSeparator" w:id="25">
    <w:p>
      <w:r>
        <w:continuationSeparator/>
      </w:r>
    </w:p>
  </w:footnote>
  <w:footnote w:id="0">
    <w:p w14:paraId="11EC120D">
      <w:pPr>
        <w:pStyle w:val="7"/>
        <w:snapToGrid w:val="0"/>
      </w:pPr>
      <w:r>
        <w:rPr>
          <w:rStyle w:val="10"/>
        </w:rPr>
        <w:footnoteRef/>
      </w:r>
      <w:r>
        <w:t xml:space="preserve"> </w:t>
      </w:r>
      <w:r>
        <w:rPr>
          <w:rFonts w:hint="eastAsia"/>
        </w:rPr>
        <w:t>横屏短剧是指：单集5-20分钟、单部20-30集、单部投资在300-800万之间、通过手机横屏观看的短剧。目前横屏短剧在短剧市场的规模占比为10%-20%。</w:t>
      </w:r>
    </w:p>
  </w:footnote>
  <w:footnote w:id="1">
    <w:p w14:paraId="119BD304">
      <w:pPr>
        <w:pStyle w:val="7"/>
        <w:snapToGrid w:val="0"/>
      </w:pPr>
      <w:r>
        <w:rPr>
          <w:rStyle w:val="10"/>
        </w:rPr>
        <w:footnoteRef/>
      </w:r>
      <w:r>
        <w:t xml:space="preserve"> </w:t>
      </w:r>
      <w:r>
        <w:rPr>
          <w:rFonts w:hint="eastAsia"/>
        </w:rPr>
        <w:t>剧本入选路径1：国家级奖项含优秀剧本奖，如：五个一工程奖。由市文旅或宣传部门向省级部门申报，省级部门申报至文旅部、宣传部等国家相关部门获取奖项。路径2：广东省省级奖项含优秀剧本奖，如广东省广播影视奖、广东省原创网络视听精品项目库。路径3：河源市可设置优秀剧本奖评选机制，评选委员会一般由5票构成，其中行业专家3票，政府主管部门人员（文旅和宣传）2票；前期定向邀约行业专家，达到一定规模后，建立专家库，随机选取专家。</w:t>
      </w:r>
    </w:p>
  </w:footnote>
  <w:footnote w:id="2">
    <w:p w14:paraId="55B50314">
      <w:pPr>
        <w:pStyle w:val="7"/>
        <w:snapToGrid w:val="0"/>
      </w:pPr>
      <w:r>
        <w:rPr>
          <w:rStyle w:val="10"/>
        </w:rPr>
        <w:footnoteRef/>
      </w:r>
      <w:r>
        <w:t xml:space="preserve"> </w:t>
      </w:r>
      <w:r>
        <w:rPr>
          <w:rFonts w:hint="eastAsia"/>
          <w:lang w:val="en-US" w:eastAsia="zh-CN"/>
        </w:rPr>
        <w:t>竖</w:t>
      </w:r>
      <w:r>
        <w:rPr>
          <w:rFonts w:hint="eastAsia"/>
        </w:rPr>
        <w:t>屏短剧是指：单集1-3分钟、单部30-100集、单部投资在30-100万之间、通过手机竖屏观看的短剧。目前竖屏短剧在短剧市场规模占比为80%-90%。</w:t>
      </w:r>
    </w:p>
  </w:footnote>
  <w:footnote w:id="3">
    <w:p w14:paraId="1573DA56">
      <w:pPr>
        <w:pStyle w:val="7"/>
        <w:snapToGrid w:val="0"/>
        <w:rPr>
          <w:rFonts w:hint="default" w:eastAsiaTheme="minorEastAsia"/>
          <w:lang w:val="en-US" w:eastAsia="zh-CN"/>
        </w:rPr>
      </w:pPr>
      <w:r>
        <w:rPr>
          <w:rStyle w:val="10"/>
        </w:rPr>
        <w:footnoteRef/>
      </w:r>
      <w:r>
        <w:t xml:space="preserve"> </w:t>
      </w:r>
      <w:r>
        <w:rPr>
          <w:rFonts w:hint="eastAsia"/>
          <w:lang w:val="en-US" w:eastAsia="zh-CN"/>
        </w:rPr>
        <w:t>同脚注4内容。</w:t>
      </w:r>
    </w:p>
  </w:footnote>
  <w:footnote w:id="4">
    <w:p w14:paraId="28CB0C67">
      <w:pPr>
        <w:pStyle w:val="7"/>
        <w:snapToGrid w:val="0"/>
        <w:rPr>
          <w:rFonts w:hint="eastAsia" w:eastAsiaTheme="minorEastAsia"/>
          <w:lang w:eastAsia="zh-CN"/>
        </w:rPr>
      </w:pPr>
      <w:r>
        <w:rPr>
          <w:rStyle w:val="10"/>
        </w:rPr>
        <w:footnoteRef/>
      </w:r>
      <w:r>
        <w:t xml:space="preserve"> </w:t>
      </w:r>
      <w:r>
        <w:rPr>
          <w:rFonts w:hint="eastAsia"/>
        </w:rPr>
        <w:t>奖金来源于东源相关主管部门，主要为广电、文旅和宣传部门。如相关部门日常工作有此类奖项需求，则奖金可以通过主管部门设立专项支出</w:t>
      </w:r>
      <w:r>
        <w:rPr>
          <w:rFonts w:hint="eastAsia"/>
          <w:lang w:eastAsia="zh-CN"/>
        </w:rPr>
        <w:t>。</w:t>
      </w:r>
    </w:p>
  </w:footnote>
  <w:footnote w:id="5">
    <w:p w14:paraId="11D1D59F">
      <w:pPr>
        <w:pStyle w:val="7"/>
        <w:snapToGrid w:val="0"/>
        <w:rPr>
          <w:rFonts w:hint="eastAsia"/>
        </w:rPr>
      </w:pPr>
      <w:r>
        <w:rPr>
          <w:rStyle w:val="10"/>
        </w:rPr>
        <w:footnoteRef/>
      </w:r>
      <w:r>
        <w:t xml:space="preserve"> </w:t>
      </w:r>
      <w:r>
        <w:rPr>
          <w:rFonts w:hint="eastAsia"/>
        </w:rPr>
        <w:t>本地发生拍摄相关费用，企业需凭发票申报奖励，由政府相关部门核定确认后，进行补贴。</w:t>
      </w:r>
    </w:p>
    <w:p w14:paraId="59FEFA43">
      <w:pPr>
        <w:pStyle w:val="7"/>
        <w:snapToGrid w:val="0"/>
      </w:pPr>
      <w:r>
        <w:rPr>
          <w:rFonts w:hint="eastAsia"/>
        </w:rPr>
        <w:t>关于“每家企业每年最高不超过100万元补贴”，此标准参考余杭区提供的标准，本补贴封顶金额设定的目的是为了拉动留存制作企业长期持续在东源县开展制作活动。由于竖屏短剧单一企业制作周期段制作频次高，年内拍摄一般为10-20部，故封顶金额也定为100万元。</w:t>
      </w:r>
    </w:p>
  </w:footnote>
  <w:footnote w:id="6">
    <w:p w14:paraId="25C69E4E">
      <w:pPr>
        <w:pStyle w:val="7"/>
        <w:snapToGrid w:val="0"/>
        <w:rPr>
          <w:rFonts w:hint="default" w:eastAsiaTheme="minorEastAsia"/>
          <w:lang w:val="en-US" w:eastAsia="zh-CN"/>
        </w:rPr>
      </w:pPr>
      <w:r>
        <w:rPr>
          <w:rStyle w:val="10"/>
        </w:rPr>
        <w:footnoteRef/>
      </w:r>
      <w:r>
        <w:t xml:space="preserve"> </w:t>
      </w:r>
      <w:r>
        <w:rPr>
          <w:rFonts w:hint="eastAsia"/>
          <w:lang w:val="en-US" w:eastAsia="zh-CN"/>
        </w:rPr>
        <w:t>同脚注7内容。</w:t>
      </w:r>
    </w:p>
  </w:footnote>
  <w:footnote w:id="7">
    <w:p w14:paraId="3D1B1623">
      <w:pPr>
        <w:pStyle w:val="7"/>
        <w:snapToGrid w:val="0"/>
        <w:rPr>
          <w:rFonts w:hint="eastAsia"/>
        </w:rPr>
      </w:pPr>
      <w:r>
        <w:rPr>
          <w:rStyle w:val="10"/>
        </w:rPr>
        <w:footnoteRef/>
      </w:r>
      <w:r>
        <w:t xml:space="preserve"> </w:t>
      </w:r>
      <w:r>
        <w:rPr>
          <w:rFonts w:hint="eastAsia"/>
        </w:rPr>
        <w:t>交通费主要是指制作企业在拍摄期间，以东源为目的地的国内机票、车票、船票、车辆过路费、油费、长途汽车费等，需凭企业劳务协议和对应发票申报奖励，由政府相关部门核定确认后，进行补贴。</w:t>
      </w:r>
    </w:p>
    <w:p w14:paraId="21809694">
      <w:pPr>
        <w:pStyle w:val="7"/>
        <w:snapToGrid w:val="0"/>
      </w:pPr>
      <w:r>
        <w:rPr>
          <w:rFonts w:hint="eastAsia"/>
        </w:rPr>
        <w:t>实际发生的交通费通常为制作费用的5%-10%，可作为辅助依据核定补贴总金额。</w:t>
      </w:r>
    </w:p>
  </w:footnote>
  <w:footnote w:id="8">
    <w:p w14:paraId="4DE021FD">
      <w:pPr>
        <w:pStyle w:val="7"/>
        <w:snapToGrid w:val="0"/>
        <w:rPr>
          <w:rFonts w:hint="default" w:eastAsiaTheme="minorEastAsia"/>
          <w:lang w:val="en-US" w:eastAsia="zh-CN"/>
        </w:rPr>
      </w:pPr>
      <w:r>
        <w:rPr>
          <w:rStyle w:val="10"/>
        </w:rPr>
        <w:footnoteRef/>
      </w:r>
      <w:r>
        <w:t xml:space="preserve"> </w:t>
      </w:r>
      <w:r>
        <w:rPr>
          <w:rFonts w:hint="eastAsia"/>
          <w:lang w:val="en-US" w:eastAsia="zh-CN"/>
        </w:rPr>
        <w:t>同脚注10内容。</w:t>
      </w:r>
    </w:p>
  </w:footnote>
  <w:footnote w:id="9">
    <w:p w14:paraId="4BC8860E">
      <w:pPr>
        <w:pStyle w:val="7"/>
        <w:snapToGrid w:val="0"/>
      </w:pPr>
      <w:r>
        <w:rPr>
          <w:rStyle w:val="10"/>
        </w:rPr>
        <w:footnoteRef/>
      </w:r>
      <w:r>
        <w:t xml:space="preserve"> </w:t>
      </w:r>
      <w:r>
        <w:rPr>
          <w:rFonts w:hint="eastAsia"/>
        </w:rPr>
        <w:t>企业在视频网站平台上传作品后，后台可显示有效播放量。如企业希望申报奖励，则需提供作品在视频网站的播放数据。数据经政府及视频网站相关审核人员核定后，方可获取奖励。同一作品在多个平台播映的，按照“就高、不重复”的原则给与奖励。</w:t>
      </w:r>
    </w:p>
  </w:footnote>
  <w:footnote w:id="10">
    <w:p w14:paraId="333255A8">
      <w:pPr>
        <w:pStyle w:val="7"/>
        <w:snapToGrid w:val="0"/>
      </w:pPr>
      <w:r>
        <w:rPr>
          <w:rStyle w:val="10"/>
        </w:rPr>
        <w:footnoteRef/>
      </w:r>
      <w:r>
        <w:t xml:space="preserve"> </w:t>
      </w:r>
      <w:r>
        <w:rPr>
          <w:rFonts w:hint="eastAsia"/>
          <w:lang w:val="en-US" w:eastAsia="zh-CN"/>
        </w:rPr>
        <w:t>同脚注12内容。</w:t>
      </w:r>
    </w:p>
  </w:footnote>
  <w:footnote w:id="11">
    <w:p w14:paraId="53D831CB">
      <w:pPr>
        <w:pStyle w:val="7"/>
        <w:snapToGrid w:val="0"/>
      </w:pPr>
      <w:r>
        <w:rPr>
          <w:rStyle w:val="10"/>
        </w:rPr>
        <w:footnoteRef/>
      </w:r>
      <w:r>
        <w:t xml:space="preserve"> </w:t>
      </w:r>
      <w:r>
        <w:rPr>
          <w:rFonts w:hint="eastAsia"/>
        </w:rPr>
        <w:t>根据东源当地文旅或宣传等主管部门需求而定。如无需求，则无需补贴；如有，则根据相关主管部门的实际预算制定补贴金额。</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footnotePr>
    <w:footnote w:id="24"/>
    <w:footnote w:id="25"/>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mYzQxNmI2OTI3MjIzYjMwYmJlZTI2YWU3YTIwYzgifQ=="/>
  </w:docVars>
  <w:rsids>
    <w:rsidRoot w:val="200B626D"/>
    <w:rsid w:val="200B626D"/>
    <w:rsid w:val="377446B2"/>
    <w:rsid w:val="41A15031"/>
    <w:rsid w:val="4E2D4402"/>
    <w:rsid w:val="4E7A3A54"/>
    <w:rsid w:val="529C65B6"/>
    <w:rsid w:val="604333B5"/>
    <w:rsid w:val="637846F9"/>
    <w:rsid w:val="787231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autoRedefine/>
    <w:qFormat/>
    <w:uiPriority w:val="0"/>
    <w:pPr>
      <w:keepNext/>
      <w:keepLines/>
      <w:spacing w:before="220" w:beforeLines="0" w:after="210" w:afterLines="0" w:line="576" w:lineRule="auto"/>
      <w:jc w:val="left"/>
      <w:outlineLvl w:val="0"/>
    </w:pPr>
    <w:rPr>
      <w:rFonts w:eastAsia="方正小标宋_GBK" w:asciiTheme="minorAscii" w:hAnsiTheme="minorAscii"/>
      <w:kern w:val="44"/>
      <w:sz w:val="32"/>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customStyle="1" w:styleId="2">
    <w:name w:val="Body Text First Indent 2"/>
    <w:basedOn w:val="3"/>
    <w:qFormat/>
    <w:uiPriority w:val="0"/>
    <w:pPr>
      <w:ind w:firstLine="420" w:firstLineChars="200"/>
    </w:pPr>
    <w:rPr>
      <w:kern w:val="0"/>
      <w:sz w:val="20"/>
    </w:rPr>
  </w:style>
  <w:style w:type="paragraph" w:customStyle="1" w:styleId="3">
    <w:name w:val="Body Text Indent"/>
    <w:basedOn w:val="1"/>
    <w:next w:val="4"/>
    <w:autoRedefine/>
    <w:qFormat/>
    <w:uiPriority w:val="0"/>
    <w:pPr>
      <w:ind w:firstLine="630"/>
    </w:pPr>
    <w:rPr>
      <w:rFonts w:ascii="黑体" w:hAnsi="Calibri" w:eastAsia="黑体" w:cs="Times New Roman"/>
      <w:sz w:val="32"/>
      <w:szCs w:val="20"/>
      <w:lang w:bidi="ar-SA"/>
    </w:rPr>
  </w:style>
  <w:style w:type="paragraph" w:customStyle="1" w:styleId="4">
    <w:name w:val="envelope return"/>
    <w:basedOn w:val="1"/>
    <w:autoRedefine/>
    <w:qFormat/>
    <w:uiPriority w:val="0"/>
    <w:pPr>
      <w:snapToGrid w:val="0"/>
    </w:pPr>
    <w:rPr>
      <w:rFonts w:ascii="Arial" w:hAnsi="Arial" w:eastAsia="宋体" w:cs="Times New Roman"/>
      <w:szCs w:val="24"/>
      <w:lang w:bidi="ar-SA"/>
    </w:rPr>
  </w:style>
  <w:style w:type="paragraph" w:styleId="6">
    <w:name w:val="annotation text"/>
    <w:basedOn w:val="1"/>
    <w:autoRedefine/>
    <w:qFormat/>
    <w:uiPriority w:val="0"/>
    <w:pPr>
      <w:jc w:val="left"/>
    </w:pPr>
  </w:style>
  <w:style w:type="paragraph" w:styleId="7">
    <w:name w:val="footnote text"/>
    <w:basedOn w:val="1"/>
    <w:qFormat/>
    <w:uiPriority w:val="0"/>
    <w:pPr>
      <w:snapToGrid w:val="0"/>
      <w:jc w:val="left"/>
    </w:pPr>
    <w:rPr>
      <w:sz w:val="18"/>
    </w:rPr>
  </w:style>
  <w:style w:type="character" w:styleId="10">
    <w:name w:val="footnote reference"/>
    <w:basedOn w:val="9"/>
    <w:qFormat/>
    <w:uiPriority w:val="0"/>
    <w:rPr>
      <w:vertAlign w:val="superscript"/>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2244</Words>
  <Characters>2303</Characters>
  <Lines>0</Lines>
  <Paragraphs>0</Paragraphs>
  <TotalTime>0</TotalTime>
  <ScaleCrop>false</ScaleCrop>
  <LinksUpToDate>false</LinksUpToDate>
  <CharactersWithSpaces>2324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2025-02-09T07:05:00Z</dcterms:created>
  <dc:creator>苗靖</dc:creator>
  <cp:lastModifiedBy>Mr Yong</cp:lastModifiedBy>
  <cp:lastPrinted>2025-02-09T07:27:00Z</cp:lastPrinted>
  <dcterms:modified xsi:type="dcterms:W3CDTF">2025-02-17T03:59:47Z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2C4CC5E039DB4D00BD84FA60768BF484_13</vt:lpwstr>
  </property>
  <property fmtid="{D5CDD505-2E9C-101B-9397-08002B2CF9AE}" pid="4" name="KSOTemplateDocerSaveRecord">
    <vt:lpwstr>eyJoZGlkIjoiNmU5NTgyMmE4ZmIwZWRiNjQ3MDc1NWMxNzAyMGIyYWYiLCJ1c2VySWQiOiIyMDA3MjY1MzYifQ==</vt:lpwstr>
  </property>
</Properties>
</file>