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21"/>
        <w:keepNext w:val="0"/>
        <w:keepLines w:val="0"/>
        <w:pageBreakBefore w:val="0"/>
        <w:tabs>
          <w:tab w:val="right" w:leader="dot" w:pos="8958"/>
        </w:tabs>
        <w:kinsoku/>
        <w:wordWrap/>
        <w:overflowPunct/>
        <w:topLinePunct w:val="0"/>
        <w:autoSpaceDE/>
        <w:autoSpaceDN/>
        <w:bidi w:val="0"/>
        <w:adjustRightInd/>
        <w:snapToGrid/>
        <w:spacing w:line="240" w:lineRule="auto"/>
        <w:textAlignment w:val="auto"/>
        <w:rPr>
          <w:rFonts w:ascii="宋体" w:eastAsia="宋体" w:cs="宋体" w:hint="eastAsia"/>
          <w:color w:val="auto"/>
          <w:spacing w:val="0"/>
          <w:sz w:val="24"/>
          <w:szCs w:val="24"/>
          <w:lang w:val="en-US" w:eastAsia="zh-CN"/>
          <w:highlight w:val="auto"/>
        </w:rPr>
      </w:pPr>
    </w:p>
    <w:p>
      <w:pPr>
        <w:pStyle w:val="21"/>
        <w:keepNext w:val="0"/>
        <w:keepLines w:val="0"/>
        <w:pageBreakBefore w:val="0"/>
        <w:tabs>
          <w:tab w:val="right" w:leader="dot" w:pos="8958"/>
        </w:tabs>
        <w:kinsoku/>
        <w:wordWrap/>
        <w:overflowPunct/>
        <w:topLinePunct w:val="0"/>
        <w:autoSpaceDE/>
        <w:autoSpaceDN/>
        <w:bidi w:val="0"/>
        <w:adjustRightInd/>
        <w:snapToGrid/>
        <w:spacing w:line="240" w:lineRule="auto"/>
        <w:textAlignment w:val="auto"/>
        <w:rPr>
          <w:rFonts w:ascii="宋体" w:eastAsia="宋体" w:cs="宋体" w:hint="eastAsia"/>
          <w:b/>
          <w:color w:val="auto"/>
          <w:sz w:val="24"/>
          <w:szCs w:val="24"/>
          <w:highlight w:val="auto"/>
        </w:rPr>
      </w:pPr>
      <w:r>
        <w:rPr>
          <w:rFonts w:ascii="宋体" w:eastAsia="宋体" w:cs="宋体" w:hint="eastAsia"/>
          <w:color w:val="auto"/>
          <w:spacing w:val="0"/>
          <w:sz w:val="24"/>
          <w:szCs w:val="24"/>
          <w:lang w:val="en-US" w:eastAsia="zh-CN"/>
          <w:highlight w:val="auto"/>
        </w:rPr>
        <w:fldChar w:fldCharType="begin"/>
      </w:r>
      <w:r>
        <w:rPr>
          <w:rFonts w:ascii="宋体" w:eastAsia="宋体" w:cs="宋体" w:hint="eastAsia"/>
          <w:color w:val="auto"/>
          <w:spacing w:val="0"/>
          <w:sz w:val="24"/>
          <w:szCs w:val="24"/>
          <w:lang w:val="en-US" w:eastAsia="zh-CN"/>
          <w:highlight w:val="auto"/>
        </w:rPr>
        <w:instrText xml:space="preserve">TOC \o "1-2" \h \u </w:instrText>
      </w:r>
      <w:r>
        <w:rPr>
          <w:rFonts w:ascii="宋体" w:eastAsia="宋体" w:cs="宋体" w:hint="eastAsia"/>
          <w:color w:val="auto"/>
          <w:spacing w:val="0"/>
          <w:sz w:val="24"/>
          <w:szCs w:val="24"/>
          <w:lang w:val="en-US" w:eastAsia="zh-CN"/>
          <w:highlight w:val="auto"/>
        </w:rPr>
        <w:fldChar w:fldCharType="separate"/>
      </w:r>
    </w:p>
    <w:p>
      <w:pPr>
        <w:keepNext w:val="0"/>
        <w:keepLines w:val="0"/>
        <w:pageBreakBefore w:val="0"/>
        <w:widowControl w:val="0"/>
        <w:shd w:val="clear" w:color="auto" w:fill="auto"/>
        <w:kinsoku/>
        <w:wordWrap/>
        <w:overflowPunct/>
        <w:topLinePunct w:val="0"/>
        <w:autoSpaceDE/>
        <w:autoSpaceDN/>
        <w:bidi w:val="0"/>
        <w:adjustRightInd/>
        <w:snapToGrid/>
        <w:spacing w:line="240" w:lineRule="auto"/>
        <w:textAlignment w:val="auto"/>
        <w:rPr>
          <w:rFonts w:ascii="宋体" w:eastAsia="宋体" w:cs="宋体" w:hint="eastAsia"/>
          <w:color w:val="auto"/>
          <w:spacing w:val="0"/>
          <w:sz w:val="32"/>
          <w:szCs w:val="32"/>
          <w:lang w:val="en-US" w:eastAsia="zh-CN"/>
          <w:highlight w:val="auto"/>
        </w:rPr>
      </w:pPr>
      <w:r>
        <w:rPr>
          <w:rFonts w:ascii="宋体" w:eastAsia="宋体" w:cs="宋体" w:hint="eastAsia"/>
          <w:b/>
          <w:color w:val="auto"/>
          <w:spacing w:val="0"/>
          <w:sz w:val="24"/>
          <w:szCs w:val="24"/>
          <w:lang w:val="en-US" w:eastAsia="zh-CN"/>
          <w:highlight w:val="auto"/>
        </w:rPr>
        <w:fldChar w:fldCharType="end"/>
      </w:r>
    </w:p>
    <w:p>
      <w:pPr>
        <w:shd w:val="clear" w:color="auto" w:fill="auto"/>
        <w:spacing w:line="600" w:lineRule="exact"/>
        <w:jc w:val="center"/>
        <w:outlineLvl w:val="0"/>
        <w:rPr>
          <w:rFonts w:ascii="方正小标宋_GBK" w:eastAsia="方正小标宋_GBK" w:cs="方正小标宋_GBK" w:hint="eastAsia"/>
          <w:b w:val="0"/>
          <w:bCs w:val="0"/>
          <w:color w:val="auto"/>
          <w:spacing w:val="0"/>
          <w:sz w:val="44"/>
          <w:szCs w:val="44"/>
          <w:highlight w:val="auto"/>
        </w:rPr>
      </w:pPr>
      <w:bookmarkStart w:id="0" w:name="_Toc16433"/>
      <w:r>
        <w:rPr>
          <w:rFonts w:ascii="方正小标宋_GBK" w:eastAsia="方正小标宋_GBK" w:cs="方正小标宋_GBK" w:hint="eastAsia"/>
          <w:b w:val="0"/>
          <w:bCs w:val="0"/>
          <w:color w:val="auto"/>
          <w:spacing w:val="0"/>
          <w:sz w:val="44"/>
          <w:szCs w:val="44"/>
          <w:lang w:eastAsia="zh-CN"/>
          <w:highlight w:val="auto"/>
        </w:rPr>
        <w:t>广东岑田抽水蓄能电站项目</w:t>
      </w:r>
      <w:bookmarkStart w:id="1" w:name="_Toc31986"/>
      <w:bookmarkEnd w:id="0"/>
      <w:r>
        <w:rPr>
          <w:rFonts w:ascii="方正小标宋_GBK" w:eastAsia="方正小标宋_GBK" w:cs="方正小标宋_GBK" w:hint="eastAsia"/>
          <w:b w:val="0"/>
          <w:bCs w:val="0"/>
          <w:color w:val="auto"/>
          <w:spacing w:val="0"/>
          <w:sz w:val="44"/>
          <w:szCs w:val="44"/>
          <w:lang w:eastAsia="zh-CN"/>
          <w:highlight w:val="auto"/>
        </w:rPr>
        <w:t>建（构）筑物及地上附着物</w:t>
      </w:r>
      <w:bookmarkStart w:id="2" w:name="_Toc17231"/>
      <w:bookmarkEnd w:id="1"/>
      <w:r>
        <w:rPr>
          <w:rFonts w:ascii="方正小标宋_GBK" w:eastAsia="方正小标宋_GBK" w:cs="方正小标宋_GBK" w:hint="eastAsia"/>
          <w:b w:val="0"/>
          <w:bCs w:val="0"/>
          <w:color w:val="auto"/>
          <w:spacing w:val="0"/>
          <w:sz w:val="44"/>
          <w:szCs w:val="44"/>
          <w:highlight w:val="auto"/>
        </w:rPr>
        <w:t>征收与补偿方案</w:t>
      </w:r>
      <w:bookmarkEnd w:id="2"/>
    </w:p>
    <w:p>
      <w:pPr>
        <w:shd w:val="clear" w:color="auto" w:fill="auto"/>
        <w:spacing w:line="600" w:lineRule="exact"/>
        <w:jc w:val="center"/>
        <w:rPr>
          <w:rFonts w:ascii="宋体" w:eastAsia="宋体" w:cs="宋体" w:hint="eastAsia"/>
          <w:b/>
          <w:bCs/>
          <w:color w:val="auto"/>
          <w:spacing w:val="0"/>
          <w:sz w:val="30"/>
          <w:szCs w:val="30"/>
          <w:highlight w:val="auto"/>
        </w:rPr>
      </w:pP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Chars="200" w:firstLine="640"/>
        <w:jc w:val="both"/>
        <w:textAlignment w:val="auto"/>
        <w:outlineLvl w:val="0"/>
        <w:rPr>
          <w:rFonts w:ascii="宋体" w:eastAsia="宋体" w:cs="宋体" w:hint="eastAsia"/>
          <w:b/>
          <w:bCs/>
          <w:color w:val="auto"/>
          <w:spacing w:val="0"/>
          <w:sz w:val="32"/>
          <w:szCs w:val="32"/>
          <w:highlight w:val="auto"/>
        </w:rPr>
      </w:pPr>
      <w:bookmarkStart w:id="3" w:name="_Toc21960"/>
      <w:r>
        <w:rPr>
          <w:rFonts w:ascii="宋体" w:eastAsia="宋体" w:cs="宋体" w:hint="eastAsia"/>
          <w:b/>
          <w:bCs/>
          <w:color w:val="auto"/>
          <w:spacing w:val="0"/>
          <w:sz w:val="32"/>
          <w:szCs w:val="32"/>
          <w:highlight w:val="auto"/>
        </w:rPr>
        <w:t>一、项目概况</w:t>
      </w:r>
      <w:bookmarkEnd w:id="3"/>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600" w:lineRule="exact"/>
        <w:ind w:left="0" w:firstLine="420"/>
        <w:jc w:val="left"/>
        <w:textAlignment w:val="auto"/>
        <w:outlineLvl w:val="1"/>
        <w:rPr>
          <w:rFonts w:ascii="宋体" w:eastAsia="宋体" w:cs="宋体" w:hint="eastAsia"/>
          <w:b/>
          <w:bCs/>
          <w:color w:val="auto"/>
          <w:spacing w:val="0"/>
          <w:sz w:val="32"/>
          <w:szCs w:val="32"/>
          <w:highlight w:val="auto"/>
        </w:rPr>
      </w:pPr>
      <w:bookmarkStart w:id="4" w:name="_Toc7006"/>
      <w:r>
        <w:rPr>
          <w:rFonts w:ascii="宋体" w:eastAsia="宋体" w:cs="宋体" w:hint="eastAsia"/>
          <w:b/>
          <w:bCs/>
          <w:color w:val="auto"/>
          <w:spacing w:val="0"/>
          <w:sz w:val="32"/>
          <w:szCs w:val="32"/>
          <w:highlight w:val="auto"/>
        </w:rPr>
        <w:t>征收范围</w:t>
      </w:r>
      <w:bookmarkEnd w:id="4"/>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eastAsia="zh-CN"/>
          <w:highlight w:val="auto"/>
        </w:rPr>
        <w:t>广东岑田抽水蓄能电站项目涉及</w:t>
      </w:r>
      <w:r>
        <w:rPr>
          <w:rFonts w:ascii="宋体" w:eastAsia="宋体" w:cs="宋体" w:hint="eastAsia"/>
          <w:b w:val="0"/>
          <w:bCs w:val="0"/>
          <w:color w:val="auto"/>
          <w:spacing w:val="0"/>
          <w:sz w:val="32"/>
          <w:szCs w:val="32"/>
          <w:highlight w:val="auto"/>
        </w:rPr>
        <w:t>东源县</w:t>
      </w:r>
      <w:r>
        <w:rPr>
          <w:rFonts w:ascii="宋体" w:eastAsia="宋体" w:cs="宋体" w:hint="eastAsia"/>
          <w:b w:val="0"/>
          <w:bCs w:val="0"/>
          <w:color w:val="auto"/>
          <w:sz w:val="32"/>
          <w:szCs w:val="32"/>
          <w:lang w:val="en-US" w:eastAsia="zh-CN"/>
          <w:highlight w:val="auto"/>
        </w:rPr>
        <w:t>黄田镇清溪村绿溪小组、曾田镇蒲田村岑田小组</w:t>
      </w:r>
      <w:r>
        <w:rPr>
          <w:rFonts w:ascii="宋体" w:eastAsia="宋体" w:cs="宋体" w:hint="eastAsia"/>
          <w:b w:val="0"/>
          <w:bCs w:val="0"/>
          <w:color w:val="auto"/>
          <w:spacing w:val="0"/>
          <w:sz w:val="32"/>
          <w:szCs w:val="32"/>
          <w:highlight w:val="auto"/>
        </w:rPr>
        <w:t>土地约</w:t>
      </w:r>
      <w:r>
        <w:rPr>
          <w:rFonts w:ascii="宋体" w:eastAsia="宋体" w:cs="宋体" w:hint="eastAsia"/>
          <w:b w:val="0"/>
          <w:bCs w:val="0"/>
          <w:color w:val="auto"/>
          <w:spacing w:val="0"/>
          <w:sz w:val="32"/>
          <w:szCs w:val="32"/>
          <w:lang w:val="en-US" w:eastAsia="zh-CN"/>
          <w:highlight w:val="auto"/>
        </w:rPr>
        <w:t>323公顷</w:t>
      </w:r>
      <w:r>
        <w:rPr>
          <w:rFonts w:ascii="宋体" w:eastAsia="宋体" w:cs="宋体" w:hint="eastAsia"/>
          <w:b w:val="0"/>
          <w:bCs w:val="0"/>
          <w:color w:val="auto"/>
          <w:spacing w:val="0"/>
          <w:sz w:val="32"/>
          <w:szCs w:val="32"/>
          <w:highlight w:val="auto"/>
        </w:rPr>
        <w:t>（具体按征地红线为准）。</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600" w:lineRule="exact"/>
        <w:ind w:left="0" w:firstLine="420"/>
        <w:jc w:val="left"/>
        <w:textAlignment w:val="auto"/>
        <w:outlineLvl w:val="1"/>
        <w:rPr>
          <w:rFonts w:ascii="宋体" w:eastAsia="宋体" w:cs="宋体" w:hint="eastAsia"/>
          <w:b/>
          <w:bCs/>
          <w:color w:val="auto"/>
          <w:spacing w:val="0"/>
          <w:sz w:val="32"/>
          <w:szCs w:val="32"/>
          <w:highlight w:val="auto"/>
        </w:rPr>
      </w:pPr>
      <w:bookmarkStart w:id="5" w:name="_Toc2697"/>
      <w:r>
        <w:rPr>
          <w:rFonts w:ascii="宋体" w:eastAsia="宋体" w:cs="宋体" w:hint="eastAsia"/>
          <w:b/>
          <w:bCs/>
          <w:color w:val="auto"/>
          <w:spacing w:val="0"/>
          <w:sz w:val="32"/>
          <w:szCs w:val="32"/>
          <w:highlight w:val="auto"/>
        </w:rPr>
        <w:t>征收规模</w:t>
      </w:r>
      <w:bookmarkEnd w:id="5"/>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eastAsia="zh-CN"/>
          <w:highlight w:val="auto"/>
        </w:rPr>
        <w:t>广东岑田抽水蓄能电站项目涉及东源县黄田镇清溪村绿溪小组、曾田镇蒲田村岑田小组各</w:t>
      </w:r>
      <w:r>
        <w:rPr>
          <w:rFonts w:ascii="宋体" w:eastAsia="宋体" w:cs="宋体" w:hint="eastAsia"/>
          <w:color w:val="auto"/>
          <w:szCs w:val="32"/>
          <w:highlight w:val="auto"/>
        </w:rPr>
        <w:t>类构建物约34</w:t>
      </w:r>
      <w:r>
        <w:rPr>
          <w:rFonts w:ascii="宋体" w:eastAsia="宋体" w:cs="宋体" w:hint="eastAsia"/>
          <w:color w:val="auto"/>
          <w:szCs w:val="32"/>
          <w:lang w:val="en-US" w:eastAsia="zh-CN"/>
          <w:highlight w:val="auto"/>
        </w:rPr>
        <w:t>0</w:t>
      </w:r>
      <w:r>
        <w:rPr>
          <w:rFonts w:ascii="宋体" w:eastAsia="宋体" w:cs="宋体" w:hint="eastAsia"/>
          <w:color w:val="auto"/>
          <w:szCs w:val="32"/>
          <w:highlight w:val="auto"/>
        </w:rPr>
        <w:t>栋，建筑面积约为9万平方米（具体以</w:t>
      </w:r>
      <w:r>
        <w:rPr>
          <w:rFonts w:ascii="宋体" w:eastAsia="宋体" w:cs="宋体" w:hint="eastAsia"/>
          <w:b w:val="0"/>
          <w:bCs w:val="0"/>
          <w:color w:val="auto"/>
          <w:spacing w:val="0"/>
          <w:sz w:val="32"/>
          <w:szCs w:val="32"/>
          <w:lang w:val="en-US" w:eastAsia="zh-CN"/>
          <w:highlight w:val="auto"/>
        </w:rPr>
        <w:t>移民规划报告</w:t>
      </w:r>
      <w:r>
        <w:rPr>
          <w:rFonts w:ascii="宋体" w:eastAsia="宋体" w:cs="宋体" w:hint="eastAsia"/>
          <w:b w:val="0"/>
          <w:bCs w:val="0"/>
          <w:color w:val="auto"/>
          <w:spacing w:val="0"/>
          <w:sz w:val="32"/>
          <w:szCs w:val="32"/>
          <w:highlight w:val="auto"/>
        </w:rPr>
        <w:t>为准）。</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before="0" w:line="600" w:lineRule="exact"/>
        <w:ind w:left="0" w:firstLineChars="200" w:firstLine="640"/>
        <w:jc w:val="both"/>
        <w:textAlignment w:val="auto"/>
        <w:outlineLvl w:val="0"/>
        <w:rPr>
          <w:rFonts w:ascii="宋体" w:eastAsia="宋体" w:cs="宋体" w:hint="eastAsia"/>
          <w:b/>
          <w:bCs/>
          <w:color w:val="auto"/>
          <w:spacing w:val="0"/>
          <w:sz w:val="32"/>
          <w:szCs w:val="32"/>
          <w:highlight w:val="auto"/>
        </w:rPr>
      </w:pPr>
      <w:bookmarkStart w:id="6" w:name="_Toc6258"/>
      <w:r>
        <w:rPr>
          <w:rFonts w:ascii="宋体" w:eastAsia="宋体" w:cs="宋体" w:hint="eastAsia"/>
          <w:b/>
          <w:bCs/>
          <w:color w:val="auto"/>
          <w:spacing w:val="0"/>
          <w:sz w:val="32"/>
          <w:szCs w:val="32"/>
          <w:highlight w:val="auto"/>
        </w:rPr>
        <w:t>总体方案</w:t>
      </w:r>
      <w:bookmarkEnd w:id="6"/>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jc w:val="both"/>
        <w:textAlignment w:val="auto"/>
        <w:outlineLvl w:val="1"/>
        <w:rPr>
          <w:rFonts w:ascii="宋体" w:eastAsia="宋体" w:cs="宋体" w:hint="eastAsia"/>
          <w:b/>
          <w:bCs/>
          <w:color w:val="auto"/>
          <w:spacing w:val="0"/>
          <w:sz w:val="32"/>
          <w:szCs w:val="32"/>
          <w:highlight w:val="auto"/>
        </w:rPr>
      </w:pPr>
      <w:bookmarkStart w:id="7" w:name="_Toc19181"/>
      <w:r>
        <w:rPr>
          <w:rFonts w:ascii="宋体" w:eastAsia="宋体" w:cs="宋体" w:hint="eastAsia"/>
          <w:b/>
          <w:bCs/>
          <w:color w:val="auto"/>
          <w:spacing w:val="0"/>
          <w:sz w:val="32"/>
          <w:szCs w:val="32"/>
          <w:lang w:eastAsia="zh-CN"/>
          <w:highlight w:val="auto"/>
        </w:rPr>
        <w:t>（一）</w:t>
      </w:r>
      <w:r>
        <w:rPr>
          <w:rFonts w:ascii="宋体" w:eastAsia="宋体" w:cs="宋体" w:hint="eastAsia"/>
          <w:b/>
          <w:bCs/>
          <w:color w:val="auto"/>
          <w:spacing w:val="0"/>
          <w:sz w:val="32"/>
          <w:szCs w:val="32"/>
          <w:highlight w:val="auto"/>
        </w:rPr>
        <w:t>目的和依据</w:t>
      </w:r>
      <w:bookmarkEnd w:id="7"/>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highlight w:val="auto"/>
        </w:rPr>
        <w:t>为做好</w:t>
      </w:r>
      <w:r>
        <w:rPr>
          <w:rFonts w:ascii="宋体" w:eastAsia="宋体" w:cs="宋体" w:hint="eastAsia"/>
          <w:b w:val="0"/>
          <w:bCs w:val="0"/>
          <w:color w:val="auto"/>
          <w:spacing w:val="0"/>
          <w:sz w:val="32"/>
          <w:szCs w:val="32"/>
          <w:lang w:eastAsia="zh-CN"/>
          <w:highlight w:val="auto"/>
        </w:rPr>
        <w:t>广东岑田抽水蓄能电站项目</w:t>
      </w:r>
      <w:r>
        <w:rPr>
          <w:rFonts w:ascii="宋体" w:eastAsia="宋体" w:cs="宋体" w:hint="eastAsia"/>
          <w:b w:val="0"/>
          <w:bCs w:val="0"/>
          <w:color w:val="auto"/>
          <w:spacing w:val="0"/>
          <w:sz w:val="32"/>
          <w:szCs w:val="32"/>
          <w:highlight w:val="auto"/>
        </w:rPr>
        <w:t xml:space="preserve">征收工作，根据《国有土地上房屋征收与补偿条例》 </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国务院令</w:t>
      </w:r>
      <w:r>
        <w:rPr>
          <w:rFonts w:ascii="宋体" w:eastAsia="宋体" w:cs="宋体" w:hint="eastAsia"/>
          <w:b w:val="0"/>
          <w:bCs w:val="0"/>
          <w:color w:val="auto"/>
          <w:spacing w:val="0"/>
          <w:sz w:val="32"/>
          <w:szCs w:val="32"/>
          <w:lang w:eastAsia="zh-CN"/>
          <w:highlight w:val="auto"/>
        </w:rPr>
        <w:t>〔2011〕590号</w:t>
      </w:r>
      <w:r>
        <w:rPr>
          <w:rFonts w:ascii="宋体" w:eastAsia="宋体" w:cs="宋体" w:hint="eastAsia"/>
          <w:b w:val="0"/>
          <w:bCs w:val="0"/>
          <w:color w:val="auto"/>
          <w:spacing w:val="0"/>
          <w:sz w:val="32"/>
          <w:szCs w:val="32"/>
          <w:highlight w:val="auto"/>
        </w:rPr>
        <w:t xml:space="preserve">）、《关于加强监督检查进一步规范征地拆迁行为的通知》 </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中纪办</w:t>
      </w:r>
      <w:r>
        <w:rPr>
          <w:rFonts w:ascii="宋体" w:eastAsia="宋体" w:cs="宋体" w:hint="eastAsia"/>
          <w:b w:val="0"/>
          <w:bCs w:val="0"/>
          <w:color w:val="auto"/>
          <w:spacing w:val="0"/>
          <w:sz w:val="32"/>
          <w:szCs w:val="32"/>
          <w:lang w:eastAsia="zh-CN"/>
          <w:highlight w:val="auto"/>
        </w:rPr>
        <w:t>〔2011〕8号</w:t>
      </w:r>
      <w:r>
        <w:rPr>
          <w:rFonts w:ascii="宋体" w:eastAsia="宋体" w:cs="宋体" w:hint="eastAsia"/>
          <w:b w:val="0"/>
          <w:bCs w:val="0"/>
          <w:color w:val="auto"/>
          <w:spacing w:val="0"/>
          <w:sz w:val="32"/>
          <w:szCs w:val="32"/>
          <w:highlight w:val="auto"/>
        </w:rPr>
        <w:t>）、《河源市人民政府关于印发河源市城市规划区房屋征收与补偿实施办法的通知》</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河府</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2017</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44号）</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w:t>
      </w:r>
      <w:r>
        <w:rPr>
          <w:rFonts w:ascii="宋体" w:eastAsia="宋体" w:cs="宋体" w:hint="eastAsia"/>
          <w:b w:val="0"/>
          <w:bCs w:val="0"/>
          <w:color w:val="auto"/>
          <w:spacing w:val="0"/>
          <w:sz w:val="32"/>
          <w:szCs w:val="32"/>
          <w:highlight w:val="auto"/>
        </w:rPr>
        <w:fldChar w:fldCharType="begin"/>
      </w:r>
      <w:r>
        <w:instrText>HYPERLINK "http://www.gddongyuan.gov.cn/attachment/0/87/87173/619638.pdf"</w:instrText>
      </w:r>
      <w:r>
        <w:rPr>
          <w:rFonts w:ascii="宋体" w:eastAsia="宋体" w:cs="宋体" w:hint="eastAsia"/>
          <w:b w:val="0"/>
          <w:bCs w:val="0"/>
          <w:color w:val="auto"/>
          <w:spacing w:val="0"/>
          <w:sz w:val="32"/>
          <w:szCs w:val="32"/>
          <w:highlight w:val="auto"/>
        </w:rPr>
        <w:fldChar w:fldCharType="separate"/>
      </w:r>
      <w:r>
        <w:rPr>
          <w:rFonts w:ascii="宋体" w:eastAsia="宋体" w:cs="宋体" w:hint="eastAsia"/>
          <w:b w:val="0"/>
          <w:bCs w:val="0"/>
          <w:color w:val="auto"/>
          <w:spacing w:val="0"/>
          <w:sz w:val="32"/>
          <w:szCs w:val="32"/>
          <w:highlight w:val="auto"/>
        </w:rPr>
        <w:t>东源县征收土地青苗和地上附着物补偿标准</w:t>
      </w:r>
      <w:r>
        <w:rPr>
          <w:rFonts w:ascii="宋体" w:eastAsia="宋体" w:cs="宋体" w:hint="eastAsia"/>
          <w:b w:val="0"/>
          <w:bCs w:val="0"/>
          <w:color w:val="auto"/>
          <w:spacing w:val="0"/>
          <w:sz w:val="32"/>
          <w:szCs w:val="32"/>
          <w:highlight w:val="auto"/>
        </w:rPr>
        <w:fldChar w:fldCharType="end"/>
      </w:r>
      <w:r>
        <w:rPr>
          <w:rFonts w:ascii="宋体" w:eastAsia="宋体" w:cs="宋体" w:hint="eastAsia"/>
          <w:b w:val="0"/>
          <w:bCs w:val="0"/>
          <w:color w:val="auto"/>
          <w:spacing w:val="0"/>
          <w:sz w:val="32"/>
          <w:szCs w:val="32"/>
          <w:highlight w:val="auto"/>
        </w:rPr>
        <w:t>》（东府〔2024〕40号）等有关规定，结合本县实际，制定本方案（以下简称“本方案”）。</w:t>
      </w:r>
    </w:p>
    <w:p>
      <w:pPr>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420" w:firstLine="0"/>
        <w:jc w:val="left"/>
        <w:textAlignment w:val="auto"/>
        <w:outlineLvl w:val="1"/>
        <w:rPr>
          <w:rFonts w:ascii="宋体" w:eastAsia="宋体" w:cs="宋体" w:hint="eastAsia"/>
          <w:b/>
          <w:bCs/>
          <w:color w:val="auto"/>
          <w:spacing w:val="0"/>
          <w:sz w:val="32"/>
          <w:szCs w:val="32"/>
          <w:highlight w:val="auto"/>
        </w:rPr>
      </w:pPr>
      <w:bookmarkStart w:id="8" w:name="_Toc5004"/>
      <w:r>
        <w:rPr>
          <w:rFonts w:ascii="宋体" w:eastAsia="宋体" w:cs="宋体" w:hint="eastAsia"/>
          <w:b/>
          <w:bCs/>
          <w:color w:val="auto"/>
          <w:spacing w:val="0"/>
          <w:sz w:val="32"/>
          <w:szCs w:val="32"/>
          <w:lang w:eastAsia="zh-CN"/>
          <w:highlight w:val="auto"/>
        </w:rPr>
        <w:t>（二）</w:t>
      </w:r>
      <w:r>
        <w:rPr>
          <w:rFonts w:ascii="宋体" w:eastAsia="宋体" w:cs="宋体" w:hint="eastAsia"/>
          <w:b/>
          <w:bCs/>
          <w:color w:val="auto"/>
          <w:spacing w:val="0"/>
          <w:sz w:val="32"/>
          <w:szCs w:val="32"/>
          <w:highlight w:val="auto"/>
        </w:rPr>
        <w:t>征收主体</w:t>
      </w:r>
      <w:bookmarkEnd w:id="8"/>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highlight w:val="auto"/>
        </w:rPr>
        <w:t>东源县房屋征收办公室为房屋征收部门</w:t>
      </w:r>
      <w:r>
        <w:rPr>
          <w:rFonts w:ascii="宋体" w:eastAsia="宋体" w:cs="宋体" w:hint="eastAsia"/>
          <w:b w:val="0"/>
          <w:bCs w:val="0"/>
          <w:color w:val="auto"/>
          <w:spacing w:val="0"/>
          <w:sz w:val="32"/>
          <w:szCs w:val="32"/>
          <w:lang w:eastAsia="zh-CN"/>
          <w:highlight w:val="auto"/>
        </w:rPr>
        <w:t>，负责房屋征收整体工作。</w:t>
      </w:r>
      <w:r>
        <w:rPr>
          <w:rFonts w:ascii="宋体" w:eastAsia="宋体" w:cs="宋体" w:hint="eastAsia"/>
          <w:b w:val="0"/>
          <w:bCs w:val="0"/>
          <w:color w:val="auto"/>
          <w:spacing w:val="0"/>
          <w:sz w:val="32"/>
          <w:szCs w:val="32"/>
          <w:highlight w:val="auto"/>
        </w:rPr>
        <w:t>黄田镇人民政府、曾田镇人民政府</w:t>
      </w:r>
      <w:r>
        <w:rPr>
          <w:rFonts w:ascii="宋体" w:eastAsia="宋体" w:cs="宋体" w:hint="eastAsia"/>
          <w:b w:val="0"/>
          <w:bCs w:val="0"/>
          <w:color w:val="auto"/>
          <w:spacing w:val="0"/>
          <w:sz w:val="32"/>
          <w:szCs w:val="32"/>
          <w:lang w:eastAsia="zh-CN"/>
          <w:highlight w:val="auto"/>
        </w:rPr>
        <w:t>为房屋征收实施单位</w:t>
      </w:r>
      <w:r>
        <w:rPr>
          <w:rFonts w:ascii="宋体" w:eastAsia="宋体" w:cs="宋体" w:hint="eastAsia"/>
          <w:b w:val="0"/>
          <w:bCs w:val="0"/>
          <w:color w:val="auto"/>
          <w:spacing w:val="0"/>
          <w:sz w:val="32"/>
          <w:szCs w:val="32"/>
          <w:highlight w:val="auto"/>
        </w:rPr>
        <w:t>，</w:t>
      </w:r>
      <w:r>
        <w:rPr>
          <w:rFonts w:ascii="宋体" w:eastAsia="宋体" w:cs="宋体" w:hint="eastAsia"/>
          <w:b w:val="0"/>
          <w:bCs w:val="0"/>
          <w:color w:val="auto"/>
          <w:spacing w:val="0"/>
          <w:sz w:val="32"/>
          <w:szCs w:val="32"/>
          <w:lang w:eastAsia="zh-CN"/>
          <w:highlight w:val="auto"/>
        </w:rPr>
        <w:t>负责</w:t>
      </w:r>
      <w:r>
        <w:rPr>
          <w:rFonts w:ascii="宋体" w:eastAsia="宋体" w:cs="宋体" w:hint="eastAsia"/>
          <w:b w:val="0"/>
          <w:bCs w:val="0"/>
          <w:color w:val="auto"/>
          <w:spacing w:val="0"/>
          <w:sz w:val="32"/>
          <w:szCs w:val="32"/>
          <w:highlight w:val="auto"/>
        </w:rPr>
        <w:t>办理征收补偿工作具体事宜，并接受上级部门的监督。</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before="0" w:line="600" w:lineRule="exact"/>
        <w:ind w:left="0" w:firstLine="420"/>
        <w:jc w:val="left"/>
        <w:textAlignment w:val="auto"/>
        <w:outlineLvl w:val="1"/>
        <w:rPr>
          <w:rFonts w:ascii="宋体" w:eastAsia="宋体" w:cs="宋体" w:hint="eastAsia"/>
          <w:b/>
          <w:bCs/>
          <w:color w:val="auto"/>
          <w:spacing w:val="0"/>
          <w:sz w:val="32"/>
          <w:szCs w:val="32"/>
          <w:highlight w:val="auto"/>
        </w:rPr>
      </w:pPr>
      <w:bookmarkStart w:id="9" w:name="_Toc31599"/>
      <w:r>
        <w:rPr>
          <w:rFonts w:ascii="宋体" w:eastAsia="宋体" w:cs="宋体" w:hint="eastAsia"/>
          <w:b/>
          <w:bCs/>
          <w:color w:val="auto"/>
          <w:spacing w:val="0"/>
          <w:sz w:val="32"/>
          <w:szCs w:val="32"/>
          <w:highlight w:val="auto"/>
        </w:rPr>
        <w:t>适用范围</w:t>
      </w:r>
      <w:bookmarkEnd w:id="9"/>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highlight w:val="auto"/>
        </w:rPr>
        <w:t>本方案适用于</w:t>
      </w:r>
      <w:r>
        <w:rPr>
          <w:rFonts w:ascii="宋体" w:eastAsia="宋体" w:cs="宋体" w:hint="eastAsia"/>
          <w:b w:val="0"/>
          <w:bCs w:val="0"/>
          <w:color w:val="auto"/>
          <w:spacing w:val="0"/>
          <w:sz w:val="32"/>
          <w:szCs w:val="32"/>
          <w:lang w:eastAsia="zh-CN"/>
          <w:highlight w:val="auto"/>
        </w:rPr>
        <w:t>广东岑田抽水蓄能电站项目建（构）筑物及地上附着物</w:t>
      </w:r>
      <w:r>
        <w:rPr>
          <w:rFonts w:ascii="宋体" w:eastAsia="宋体" w:cs="宋体" w:hint="eastAsia"/>
          <w:b w:val="0"/>
          <w:bCs w:val="0"/>
          <w:color w:val="auto"/>
          <w:spacing w:val="0"/>
          <w:sz w:val="32"/>
          <w:szCs w:val="32"/>
          <w:highlight w:val="auto"/>
        </w:rPr>
        <w:t>征收与补偿安置工作。</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before="0" w:line="600" w:lineRule="exact"/>
        <w:ind w:left="0" w:firstLine="420"/>
        <w:jc w:val="left"/>
        <w:textAlignment w:val="auto"/>
        <w:outlineLvl w:val="1"/>
        <w:rPr>
          <w:rFonts w:ascii="宋体" w:eastAsia="宋体" w:cs="宋体" w:hint="eastAsia"/>
          <w:b/>
          <w:bCs/>
          <w:color w:val="auto"/>
          <w:spacing w:val="0"/>
          <w:sz w:val="32"/>
          <w:szCs w:val="32"/>
          <w:highlight w:val="auto"/>
        </w:rPr>
      </w:pPr>
      <w:bookmarkStart w:id="10" w:name="_Toc6322"/>
      <w:r>
        <w:rPr>
          <w:rFonts w:ascii="宋体" w:eastAsia="宋体" w:cs="宋体" w:hint="eastAsia"/>
          <w:b/>
          <w:bCs/>
          <w:color w:val="auto"/>
          <w:spacing w:val="0"/>
          <w:sz w:val="32"/>
          <w:szCs w:val="32"/>
          <w:highlight w:val="auto"/>
        </w:rPr>
        <w:t>征收补偿方式</w:t>
      </w:r>
      <w:bookmarkEnd w:id="10"/>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highlight w:val="auto"/>
        </w:rPr>
        <w:t>本项目拟对征收房屋采取货币补偿（应承诺放弃在原籍额外申请宅基地建房的权利）</w:t>
      </w:r>
      <w:r>
        <w:rPr>
          <w:rFonts w:ascii="宋体" w:eastAsia="宋体" w:cs="宋体" w:hint="eastAsia"/>
          <w:b w:val="0"/>
          <w:bCs w:val="0"/>
          <w:color w:val="auto"/>
          <w:spacing w:val="0"/>
          <w:sz w:val="32"/>
          <w:szCs w:val="32"/>
          <w:lang w:eastAsia="zh-CN"/>
          <w:highlight w:val="auto"/>
        </w:rPr>
        <w:t>、回迁地安置、货币补偿与回迁地安置相结合的方式进行补偿。生产设施用房、其他建（构）筑物及地上附着物</w:t>
      </w:r>
      <w:r>
        <w:rPr>
          <w:rFonts w:ascii="宋体" w:eastAsia="宋体" w:cs="宋体" w:hint="eastAsia"/>
          <w:b w:val="0"/>
          <w:bCs w:val="0"/>
          <w:color w:val="auto"/>
          <w:spacing w:val="0"/>
          <w:sz w:val="32"/>
          <w:szCs w:val="32"/>
          <w:highlight w:val="auto"/>
        </w:rPr>
        <w:t>均采取货币补偿方式。</w:t>
      </w:r>
    </w:p>
    <w:p>
      <w:pPr>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firstLineChars="200" w:firstLine="640"/>
        <w:jc w:val="left"/>
        <w:textAlignment w:val="auto"/>
        <w:outlineLvl w:val="1"/>
        <w:rPr>
          <w:rFonts w:ascii="宋体" w:eastAsia="宋体" w:cs="宋体" w:hint="eastAsia"/>
          <w:b/>
          <w:bCs/>
          <w:color w:val="auto"/>
          <w:spacing w:val="0"/>
          <w:sz w:val="32"/>
          <w:szCs w:val="32"/>
          <w:highlight w:val="auto"/>
        </w:rPr>
      </w:pPr>
      <w:bookmarkStart w:id="11" w:name="_Toc13202"/>
      <w:r>
        <w:rPr>
          <w:rFonts w:ascii="宋体" w:eastAsia="宋体" w:cs="宋体" w:hint="eastAsia"/>
          <w:b/>
          <w:bCs/>
          <w:color w:val="auto"/>
          <w:spacing w:val="0"/>
          <w:sz w:val="32"/>
          <w:szCs w:val="32"/>
          <w:lang w:eastAsia="zh-CN"/>
          <w:highlight w:val="auto"/>
        </w:rPr>
        <w:t>（五）</w:t>
      </w:r>
      <w:r>
        <w:rPr>
          <w:rFonts w:ascii="宋体" w:eastAsia="宋体" w:cs="宋体" w:hint="eastAsia"/>
          <w:b/>
          <w:bCs/>
          <w:color w:val="auto"/>
          <w:spacing w:val="0"/>
          <w:sz w:val="32"/>
          <w:szCs w:val="32"/>
          <w:highlight w:val="auto"/>
        </w:rPr>
        <w:t>补偿原则与范围</w:t>
      </w:r>
      <w:bookmarkEnd w:id="11"/>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outlineLvl w:val="9"/>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val="en-US" w:eastAsia="zh-CN"/>
          <w:highlight w:val="auto"/>
        </w:rPr>
        <w:t>1.</w:t>
      </w:r>
      <w:r>
        <w:rPr>
          <w:rFonts w:ascii="宋体" w:eastAsia="宋体" w:cs="宋体" w:hint="eastAsia"/>
          <w:b w:val="0"/>
          <w:bCs w:val="0"/>
          <w:color w:val="auto"/>
          <w:spacing w:val="0"/>
          <w:sz w:val="32"/>
          <w:szCs w:val="32"/>
          <w:highlight w:val="auto"/>
        </w:rPr>
        <w:t>征收人除对被征收人的房屋（含装修装饰）、</w:t>
      </w:r>
      <w:r>
        <w:rPr>
          <w:rFonts w:ascii="宋体" w:eastAsia="宋体" w:cs="宋体" w:hint="eastAsia"/>
          <w:b w:val="0"/>
          <w:bCs w:val="0"/>
          <w:color w:val="auto"/>
          <w:spacing w:val="0"/>
          <w:sz w:val="32"/>
          <w:szCs w:val="32"/>
          <w:lang w:eastAsia="zh-CN"/>
          <w:highlight w:val="auto"/>
        </w:rPr>
        <w:t>其他</w:t>
      </w:r>
      <w:r>
        <w:rPr>
          <w:rFonts w:ascii="宋体" w:eastAsia="宋体" w:cs="宋体" w:hint="eastAsia"/>
          <w:b w:val="0"/>
          <w:bCs w:val="0"/>
          <w:color w:val="auto"/>
          <w:spacing w:val="0"/>
          <w:sz w:val="32"/>
          <w:szCs w:val="32"/>
          <w:highlight w:val="auto"/>
        </w:rPr>
        <w:t>建（构）筑物及地上附着物等进行补偿外，在不造成重复补偿的前提下，根据实际情况，还需向被征收人补偿搬迁费、临时安置费、停产停业补偿费等。符合本方案征收奖励规定的，被征收人还可以取得根据本方案规定的征收奖励。</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outlineLvl w:val="9"/>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val="en-US" w:eastAsia="zh-CN"/>
          <w:highlight w:val="auto"/>
        </w:rPr>
        <w:t>2.</w:t>
      </w:r>
      <w:r>
        <w:rPr>
          <w:rFonts w:ascii="宋体" w:eastAsia="宋体" w:cs="宋体" w:hint="eastAsia"/>
          <w:b w:val="0"/>
          <w:bCs w:val="0"/>
          <w:color w:val="auto"/>
          <w:spacing w:val="0"/>
          <w:sz w:val="32"/>
          <w:szCs w:val="32"/>
          <w:highlight w:val="auto"/>
        </w:rPr>
        <w:t>对被征收人给予的补偿包括：</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600" w:lineRule="exact"/>
        <w:ind w:left="0" w:firstLineChars="200" w:firstLine="640"/>
        <w:textAlignment w:val="auto"/>
        <w:outlineLvl w:val="9"/>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highlight w:val="auto"/>
        </w:rPr>
        <w:t>被征收房屋价值的补偿；</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600" w:lineRule="exact"/>
        <w:ind w:left="0" w:firstLineChars="200" w:firstLine="640"/>
        <w:textAlignment w:val="auto"/>
        <w:outlineLvl w:val="9"/>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highlight w:val="auto"/>
        </w:rPr>
        <w:t>因征收房屋造成的搬迁、</w:t>
      </w:r>
      <w:r>
        <w:rPr>
          <w:rFonts w:ascii="宋体" w:eastAsia="宋体" w:cs="宋体" w:hint="eastAsia"/>
          <w:b w:val="0"/>
          <w:bCs w:val="0"/>
          <w:color w:val="auto"/>
          <w:spacing w:val="0"/>
          <w:sz w:val="32"/>
          <w:szCs w:val="32"/>
          <w:lang w:eastAsia="zh-CN"/>
          <w:highlight w:val="auto"/>
        </w:rPr>
        <w:t>临时安置费</w:t>
      </w:r>
      <w:r>
        <w:rPr>
          <w:rFonts w:ascii="宋体" w:eastAsia="宋体" w:cs="宋体" w:hint="eastAsia"/>
          <w:b w:val="0"/>
          <w:bCs w:val="0"/>
          <w:color w:val="auto"/>
          <w:spacing w:val="0"/>
          <w:sz w:val="32"/>
          <w:szCs w:val="32"/>
          <w:highlight w:val="auto"/>
        </w:rPr>
        <w:t>的补偿；</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600" w:lineRule="exact"/>
        <w:ind w:left="0" w:firstLineChars="200" w:firstLine="640"/>
        <w:textAlignment w:val="auto"/>
        <w:outlineLvl w:val="9"/>
        <w:rPr>
          <w:rFonts w:ascii="宋体" w:eastAsia="宋体" w:cs="宋体" w:hint="eastAsia"/>
          <w:b w:val="0"/>
          <w:bCs w:val="0"/>
          <w:color w:val="auto"/>
          <w:spacing w:val="0"/>
          <w:sz w:val="32"/>
          <w:szCs w:val="32"/>
          <w:lang w:eastAsia="zh-CN"/>
          <w:highlight w:val="auto"/>
        </w:rPr>
      </w:pPr>
      <w:r>
        <w:rPr>
          <w:rFonts w:ascii="宋体" w:eastAsia="宋体" w:cs="宋体" w:hint="eastAsia"/>
          <w:b w:val="0"/>
          <w:bCs w:val="0"/>
          <w:color w:val="auto"/>
          <w:spacing w:val="0"/>
          <w:sz w:val="32"/>
          <w:szCs w:val="32"/>
          <w:highlight w:val="auto"/>
        </w:rPr>
        <w:t>因征收房屋造成的停产停业损失的补偿。</w:t>
      </w:r>
    </w:p>
    <w:p>
      <w:pPr>
        <w:keepNext w:val="0"/>
        <w:keepLines w:val="0"/>
        <w:pageBreakBefore w:val="0"/>
        <w:widowControl w:val="0"/>
        <w:shd w:val="clear" w:color="auto" w:fill="auto"/>
        <w:kinsoku/>
        <w:wordWrap/>
        <w:overflowPunct/>
        <w:topLinePunct w:val="0"/>
        <w:autoSpaceDE/>
        <w:autoSpaceDN/>
        <w:adjustRightInd/>
        <w:snapToGrid/>
        <w:spacing w:line="600" w:lineRule="exact"/>
        <w:ind w:left="0" w:firstLineChars="200" w:firstLine="640"/>
        <w:rPr>
          <w:rFonts w:ascii="宋体" w:eastAsia="宋体" w:cs="宋体" w:hint="eastAsia"/>
          <w:b w:val="0"/>
          <w:bCs w:val="0"/>
          <w:color w:val="auto"/>
          <w:spacing w:val="0"/>
          <w:sz w:val="32"/>
          <w:szCs w:val="32"/>
          <w:lang w:eastAsia="zh-CN"/>
          <w:highlight w:val="auto"/>
        </w:rPr>
      </w:pPr>
      <w:r>
        <w:rPr>
          <w:rFonts w:ascii="宋体" w:eastAsia="宋体" w:cs="宋体" w:hint="eastAsia"/>
          <w:b w:val="0"/>
          <w:bCs w:val="0"/>
          <w:color w:val="auto"/>
          <w:spacing w:val="0"/>
          <w:sz w:val="32"/>
          <w:szCs w:val="32"/>
          <w:lang w:val="en-US" w:eastAsia="zh-CN"/>
          <w:highlight w:val="auto"/>
        </w:rPr>
        <w:t>3.《</w:t>
      </w:r>
      <w:bookmarkStart w:id="12" w:name="OLE_LINK1"/>
      <w:r>
        <w:rPr>
          <w:rFonts w:ascii="宋体" w:eastAsia="宋体" w:cs="宋体" w:hint="eastAsia"/>
          <w:b w:val="0"/>
          <w:bCs w:val="0"/>
          <w:color w:val="auto"/>
          <w:spacing w:val="0"/>
          <w:sz w:val="32"/>
          <w:szCs w:val="32"/>
          <w:lang w:val="en-US" w:eastAsia="zh-CN"/>
          <w:highlight w:val="auto"/>
        </w:rPr>
        <w:t>广东省人民政府关于禁止在广东岑田抽水蓄能电站工程占地及淹没区范围新增建设项目和迁入人口的通</w:t>
      </w:r>
      <w:bookmarkEnd w:id="12"/>
      <w:r>
        <w:rPr>
          <w:rFonts w:ascii="宋体" w:eastAsia="宋体" w:cs="宋体" w:hint="eastAsia"/>
          <w:b w:val="0"/>
          <w:bCs w:val="0"/>
          <w:color w:val="auto"/>
          <w:spacing w:val="0"/>
          <w:sz w:val="32"/>
          <w:szCs w:val="32"/>
          <w:lang w:val="en-US" w:eastAsia="zh-CN"/>
          <w:highlight w:val="auto"/>
        </w:rPr>
        <w:t>告》（粤府函〔2023〕207号）</w:t>
      </w:r>
      <w:r>
        <w:rPr>
          <w:rFonts w:ascii="宋体" w:eastAsia="宋体" w:cs="宋体" w:hint="eastAsia"/>
          <w:b w:val="0"/>
          <w:bCs w:val="0"/>
          <w:color w:val="auto"/>
          <w:spacing w:val="0"/>
          <w:sz w:val="32"/>
          <w:szCs w:val="32"/>
          <w:lang w:eastAsia="zh-CN"/>
          <w:highlight w:val="auto"/>
        </w:rPr>
        <w:t>公告之日起，抢搭、抢建、抢种行为一律不给予补偿。</w:t>
      </w:r>
    </w:p>
    <w:p>
      <w:pPr>
        <w:keepNext w:val="0"/>
        <w:keepLines w:val="0"/>
        <w:pageBreakBefore w:val="0"/>
        <w:widowControl w:val="0"/>
        <w:shd w:val="clear" w:color="auto" w:fill="auto"/>
        <w:kinsoku/>
        <w:wordWrap/>
        <w:overflowPunct/>
        <w:topLinePunct w:val="0"/>
        <w:autoSpaceDE/>
        <w:autoSpaceDN/>
        <w:bidi w:val="0"/>
        <w:adjustRightInd/>
        <w:snapToGrid/>
        <w:spacing w:before="0" w:line="572" w:lineRule="exact"/>
        <w:ind w:left="0" w:firstLineChars="200" w:firstLine="640"/>
        <w:jc w:val="left"/>
        <w:textAlignment w:val="auto"/>
        <w:outlineLvl w:val="1"/>
        <w:rPr>
          <w:rFonts w:ascii="宋体" w:eastAsia="宋体" w:cs="宋体" w:hint="eastAsia"/>
          <w:b/>
          <w:bCs/>
          <w:color w:val="auto"/>
          <w:spacing w:val="0"/>
          <w:sz w:val="32"/>
          <w:szCs w:val="32"/>
          <w:highlight w:val="auto"/>
        </w:rPr>
      </w:pPr>
      <w:bookmarkStart w:id="13" w:name="_Toc30380"/>
      <w:r>
        <w:rPr>
          <w:rFonts w:ascii="宋体" w:eastAsia="宋体" w:cs="宋体" w:hint="eastAsia"/>
          <w:b/>
          <w:bCs/>
          <w:color w:val="auto"/>
          <w:spacing w:val="0"/>
          <w:sz w:val="32"/>
          <w:szCs w:val="32"/>
          <w:lang w:eastAsia="zh-CN"/>
          <w:highlight w:val="auto"/>
        </w:rPr>
        <w:t>（六）</w:t>
      </w:r>
      <w:r>
        <w:rPr>
          <w:rFonts w:ascii="宋体" w:eastAsia="宋体" w:cs="宋体" w:hint="eastAsia"/>
          <w:b/>
          <w:bCs/>
          <w:color w:val="auto"/>
          <w:spacing w:val="0"/>
          <w:sz w:val="32"/>
          <w:szCs w:val="32"/>
          <w:highlight w:val="auto"/>
        </w:rPr>
        <w:t>签订征收补偿协议期限</w:t>
      </w:r>
      <w:bookmarkEnd w:id="13"/>
    </w:p>
    <w:p>
      <w:pPr>
        <w:keepNext w:val="0"/>
        <w:keepLines w:val="0"/>
        <w:pageBreakBefore w:val="0"/>
        <w:widowControl w:val="0"/>
        <w:shd w:val="clear" w:color="auto" w:fill="auto"/>
        <w:kinsoku/>
        <w:wordWrap/>
        <w:overflowPunct/>
        <w:topLinePunct w:val="0"/>
        <w:autoSpaceDE/>
        <w:autoSpaceDN/>
        <w:bidi w:val="0"/>
        <w:adjustRightInd/>
        <w:snapToGrid/>
        <w:spacing w:line="572" w:lineRule="exact"/>
        <w:ind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highlight w:val="auto"/>
        </w:rPr>
        <w:t>自发布</w:t>
      </w:r>
      <w:r>
        <w:rPr>
          <w:rFonts w:ascii="宋体" w:eastAsia="宋体" w:cs="宋体" w:hint="eastAsia"/>
          <w:b w:val="0"/>
          <w:bCs w:val="0"/>
          <w:color w:val="auto"/>
          <w:spacing w:val="0"/>
          <w:sz w:val="32"/>
          <w:szCs w:val="32"/>
          <w:lang w:eastAsia="zh-CN"/>
          <w:highlight w:val="auto"/>
        </w:rPr>
        <w:t>土地、</w:t>
      </w:r>
      <w:r>
        <w:rPr>
          <w:rFonts w:ascii="宋体" w:eastAsia="宋体" w:cs="宋体" w:hint="eastAsia"/>
          <w:b w:val="0"/>
          <w:bCs w:val="0"/>
          <w:color w:val="auto"/>
          <w:spacing w:val="0"/>
          <w:sz w:val="32"/>
          <w:szCs w:val="32"/>
          <w:highlight w:val="auto"/>
        </w:rPr>
        <w:t>房屋征收决定公告之日起3个月内。</w:t>
      </w:r>
    </w:p>
    <w:p>
      <w:pPr>
        <w:keepNext w:val="0"/>
        <w:keepLines w:val="0"/>
        <w:pageBreakBefore w:val="0"/>
        <w:widowControl w:val="0"/>
        <w:shd w:val="clear" w:color="auto" w:fill="auto"/>
        <w:kinsoku/>
        <w:wordWrap/>
        <w:overflowPunct/>
        <w:topLinePunct w:val="0"/>
        <w:autoSpaceDE/>
        <w:autoSpaceDN/>
        <w:bidi w:val="0"/>
        <w:adjustRightInd/>
        <w:snapToGrid/>
        <w:spacing w:before="0" w:line="572" w:lineRule="exact"/>
        <w:ind w:left="0" w:firstLineChars="200" w:firstLine="640"/>
        <w:jc w:val="left"/>
        <w:textAlignment w:val="auto"/>
        <w:outlineLvl w:val="1"/>
        <w:rPr>
          <w:rFonts w:ascii="宋体" w:eastAsia="宋体" w:cs="宋体" w:hint="eastAsia"/>
          <w:b/>
          <w:bCs/>
          <w:color w:val="auto"/>
          <w:spacing w:val="0"/>
          <w:sz w:val="32"/>
          <w:szCs w:val="32"/>
          <w:highlight w:val="auto"/>
        </w:rPr>
      </w:pPr>
      <w:bookmarkStart w:id="14" w:name="_Toc28448"/>
      <w:r>
        <w:rPr>
          <w:rFonts w:ascii="宋体" w:eastAsia="宋体" w:cs="宋体" w:hint="eastAsia"/>
          <w:b/>
          <w:bCs/>
          <w:color w:val="auto"/>
          <w:spacing w:val="0"/>
          <w:sz w:val="32"/>
          <w:szCs w:val="32"/>
          <w:lang w:eastAsia="zh-CN"/>
          <w:highlight w:val="auto"/>
        </w:rPr>
        <w:t>（七）</w:t>
      </w:r>
      <w:r>
        <w:rPr>
          <w:rFonts w:ascii="宋体" w:eastAsia="宋体" w:cs="宋体" w:hint="eastAsia"/>
          <w:b/>
          <w:bCs/>
          <w:color w:val="auto"/>
          <w:spacing w:val="0"/>
          <w:sz w:val="32"/>
          <w:szCs w:val="32"/>
          <w:highlight w:val="auto"/>
        </w:rPr>
        <w:t>搬迁腾空房屋期限</w:t>
      </w:r>
      <w:bookmarkEnd w:id="14"/>
    </w:p>
    <w:p>
      <w:pPr>
        <w:keepNext w:val="0"/>
        <w:keepLines w:val="0"/>
        <w:pageBreakBefore w:val="0"/>
        <w:widowControl w:val="0"/>
        <w:shd w:val="clear" w:color="auto" w:fill="auto"/>
        <w:kinsoku/>
        <w:wordWrap/>
        <w:overflowPunct/>
        <w:topLinePunct w:val="0"/>
        <w:autoSpaceDE/>
        <w:autoSpaceDN/>
        <w:bidi w:val="0"/>
        <w:adjustRightInd/>
        <w:snapToGrid/>
        <w:spacing w:line="572" w:lineRule="exact"/>
        <w:ind w:firstLineChars="200" w:firstLine="640"/>
        <w:jc w:val="left"/>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highlight w:val="auto"/>
        </w:rPr>
        <w:t>自签订协议之日起10天内。</w:t>
      </w:r>
    </w:p>
    <w:p>
      <w:pPr>
        <w:keepNext w:val="0"/>
        <w:keepLines w:val="0"/>
        <w:pageBreakBefore w:val="0"/>
        <w:widowControl w:val="0"/>
        <w:shd w:val="clear" w:color="auto" w:fill="auto"/>
        <w:kinsoku/>
        <w:wordWrap/>
        <w:overflowPunct/>
        <w:topLinePunct w:val="0"/>
        <w:autoSpaceDE/>
        <w:autoSpaceDN/>
        <w:bidi w:val="0"/>
        <w:adjustRightInd/>
        <w:snapToGrid/>
        <w:spacing w:before="0" w:line="572" w:lineRule="exact"/>
        <w:ind w:left="0" w:firstLineChars="200" w:firstLine="640"/>
        <w:jc w:val="left"/>
        <w:textAlignment w:val="auto"/>
        <w:outlineLvl w:val="1"/>
        <w:rPr>
          <w:rFonts w:ascii="宋体" w:eastAsia="宋体" w:cs="宋体" w:hint="eastAsia"/>
          <w:b/>
          <w:bCs/>
          <w:color w:val="auto"/>
          <w:spacing w:val="0"/>
          <w:sz w:val="32"/>
          <w:szCs w:val="32"/>
          <w:highlight w:val="auto"/>
        </w:rPr>
      </w:pPr>
      <w:bookmarkStart w:id="15" w:name="_Toc2482"/>
      <w:r>
        <w:rPr>
          <w:rFonts w:ascii="宋体" w:eastAsia="宋体" w:cs="宋体" w:hint="eastAsia"/>
          <w:b/>
          <w:bCs/>
          <w:color w:val="auto"/>
          <w:spacing w:val="0"/>
          <w:sz w:val="32"/>
          <w:szCs w:val="32"/>
          <w:lang w:eastAsia="zh-CN"/>
          <w:highlight w:val="auto"/>
        </w:rPr>
        <w:t>（八）</w:t>
      </w:r>
      <w:r>
        <w:rPr>
          <w:rFonts w:ascii="宋体" w:eastAsia="宋体" w:cs="宋体" w:hint="eastAsia"/>
          <w:b/>
          <w:bCs/>
          <w:color w:val="auto"/>
          <w:spacing w:val="0"/>
          <w:sz w:val="32"/>
          <w:szCs w:val="32"/>
          <w:highlight w:val="auto"/>
        </w:rPr>
        <w:t>评估时点</w:t>
      </w:r>
      <w:bookmarkEnd w:id="15"/>
    </w:p>
    <w:p>
      <w:pPr>
        <w:keepNext w:val="0"/>
        <w:keepLines w:val="0"/>
        <w:pageBreakBefore w:val="0"/>
        <w:widowControl w:val="0"/>
        <w:shd w:val="clear" w:color="auto" w:fill="auto"/>
        <w:kinsoku/>
        <w:wordWrap/>
        <w:overflowPunct/>
        <w:topLinePunct w:val="0"/>
        <w:autoSpaceDE/>
        <w:autoSpaceDN/>
        <w:bidi w:val="0"/>
        <w:adjustRightInd/>
        <w:snapToGrid/>
        <w:spacing w:line="572" w:lineRule="exact"/>
        <w:ind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highlight w:val="auto"/>
        </w:rPr>
        <w:t>发布房屋征收决定公告之日。</w:t>
      </w:r>
    </w:p>
    <w:p>
      <w:pPr>
        <w:keepNext w:val="0"/>
        <w:keepLines w:val="0"/>
        <w:pageBreakBefore w:val="0"/>
        <w:widowControl w:val="0"/>
        <w:shd w:val="clear" w:color="auto" w:fill="auto"/>
        <w:kinsoku/>
        <w:wordWrap/>
        <w:overflowPunct/>
        <w:topLinePunct w:val="0"/>
        <w:autoSpaceDE/>
        <w:autoSpaceDN/>
        <w:bidi w:val="0"/>
        <w:adjustRightInd/>
        <w:snapToGrid/>
        <w:spacing w:before="0" w:line="572" w:lineRule="exact"/>
        <w:ind w:left="0" w:firstLineChars="200" w:firstLine="640"/>
        <w:jc w:val="left"/>
        <w:textAlignment w:val="auto"/>
        <w:outlineLvl w:val="1"/>
        <w:rPr>
          <w:rFonts w:ascii="宋体" w:eastAsia="宋体" w:cs="宋体" w:hint="eastAsia"/>
          <w:b/>
          <w:bCs/>
          <w:color w:val="auto"/>
          <w:spacing w:val="0"/>
          <w:sz w:val="32"/>
          <w:szCs w:val="32"/>
          <w:highlight w:val="auto"/>
        </w:rPr>
      </w:pPr>
      <w:bookmarkStart w:id="16" w:name="_Toc4768"/>
      <w:r>
        <w:rPr>
          <w:rFonts w:ascii="宋体" w:eastAsia="宋体" w:cs="宋体" w:hint="eastAsia"/>
          <w:b/>
          <w:bCs/>
          <w:color w:val="auto"/>
          <w:spacing w:val="0"/>
          <w:sz w:val="32"/>
          <w:szCs w:val="32"/>
          <w:lang w:eastAsia="zh-CN"/>
          <w:highlight w:val="auto"/>
        </w:rPr>
        <w:t>（九）</w:t>
      </w:r>
      <w:r>
        <w:rPr>
          <w:rFonts w:ascii="宋体" w:eastAsia="宋体" w:cs="宋体" w:hint="eastAsia"/>
          <w:b/>
          <w:bCs/>
          <w:color w:val="auto"/>
          <w:spacing w:val="0"/>
          <w:sz w:val="32"/>
          <w:szCs w:val="32"/>
          <w:highlight w:val="auto"/>
        </w:rPr>
        <w:t>候选房地产价格评估机构</w:t>
      </w:r>
      <w:bookmarkEnd w:id="16"/>
    </w:p>
    <w:p>
      <w:pPr>
        <w:keepNext w:val="0"/>
        <w:keepLines w:val="0"/>
        <w:pageBreakBefore w:val="0"/>
        <w:widowControl w:val="0"/>
        <w:shd w:val="clear" w:color="auto" w:fill="auto"/>
        <w:kinsoku/>
        <w:wordWrap/>
        <w:overflowPunct/>
        <w:topLinePunct w:val="0"/>
        <w:autoSpaceDE/>
        <w:autoSpaceDN/>
        <w:bidi w:val="0"/>
        <w:adjustRightInd/>
        <w:snapToGrid/>
        <w:spacing w:line="572"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val="en-US" w:eastAsia="zh-CN"/>
          <w:highlight w:val="auto"/>
        </w:rPr>
        <w:t>1.</w:t>
      </w:r>
      <w:r>
        <w:rPr>
          <w:rFonts w:ascii="宋体" w:eastAsia="宋体" w:cs="宋体" w:hint="eastAsia"/>
          <w:b w:val="0"/>
          <w:bCs w:val="0"/>
          <w:color w:val="auto"/>
          <w:spacing w:val="0"/>
          <w:sz w:val="32"/>
          <w:szCs w:val="32"/>
          <w:highlight w:val="auto"/>
        </w:rPr>
        <w:t>河源市久和土地房地产评估有限公司</w:t>
      </w:r>
    </w:p>
    <w:p>
      <w:pPr>
        <w:keepNext w:val="0"/>
        <w:keepLines w:val="0"/>
        <w:pageBreakBefore w:val="0"/>
        <w:widowControl w:val="0"/>
        <w:shd w:val="clear" w:color="auto" w:fill="auto"/>
        <w:kinsoku/>
        <w:wordWrap/>
        <w:overflowPunct/>
        <w:topLinePunct w:val="0"/>
        <w:autoSpaceDE/>
        <w:autoSpaceDN/>
        <w:bidi w:val="0"/>
        <w:adjustRightInd/>
        <w:snapToGrid/>
        <w:spacing w:line="572"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val="en-US" w:eastAsia="zh-CN"/>
          <w:highlight w:val="auto"/>
        </w:rPr>
        <w:t>2.</w:t>
      </w:r>
      <w:r>
        <w:rPr>
          <w:rFonts w:ascii="宋体" w:eastAsia="宋体" w:cs="宋体" w:hint="eastAsia"/>
          <w:b w:val="0"/>
          <w:bCs w:val="0"/>
          <w:color w:val="auto"/>
          <w:spacing w:val="0"/>
          <w:sz w:val="32"/>
          <w:szCs w:val="32"/>
          <w:highlight w:val="auto"/>
        </w:rPr>
        <w:t>河源市正大资产土地房地产估价顾问有限公司</w:t>
      </w:r>
    </w:p>
    <w:p>
      <w:pPr>
        <w:keepNext w:val="0"/>
        <w:keepLines w:val="0"/>
        <w:pageBreakBefore w:val="0"/>
        <w:widowControl w:val="0"/>
        <w:shd w:val="clear" w:color="auto" w:fill="auto"/>
        <w:kinsoku/>
        <w:wordWrap/>
        <w:overflowPunct/>
        <w:topLinePunct w:val="0"/>
        <w:autoSpaceDE/>
        <w:autoSpaceDN/>
        <w:bidi w:val="0"/>
        <w:adjustRightInd/>
        <w:snapToGrid/>
        <w:spacing w:line="572"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val="en-US" w:eastAsia="zh-CN"/>
          <w:highlight w:val="auto"/>
        </w:rPr>
        <w:t>3.</w:t>
      </w:r>
      <w:r>
        <w:rPr>
          <w:rFonts w:ascii="宋体" w:eastAsia="宋体" w:cs="宋体" w:hint="eastAsia"/>
          <w:b w:val="0"/>
          <w:bCs w:val="0"/>
          <w:color w:val="auto"/>
          <w:spacing w:val="0"/>
          <w:sz w:val="32"/>
          <w:szCs w:val="32"/>
          <w:highlight w:val="auto"/>
        </w:rPr>
        <w:t>广东致诚土地房地产评估与规划设计有限公司</w:t>
      </w:r>
    </w:p>
    <w:p>
      <w:pPr>
        <w:keepNext w:val="0"/>
        <w:keepLines w:val="0"/>
        <w:pageBreakBefore w:val="0"/>
        <w:widowControl w:val="0"/>
        <w:shd w:val="clear" w:color="auto" w:fill="auto"/>
        <w:kinsoku/>
        <w:wordWrap/>
        <w:overflowPunct/>
        <w:topLinePunct w:val="0"/>
        <w:autoSpaceDE/>
        <w:autoSpaceDN/>
        <w:bidi w:val="0"/>
        <w:adjustRightInd/>
        <w:snapToGrid/>
        <w:spacing w:line="572"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highlight w:val="auto"/>
        </w:rPr>
        <w:t>4.广东德赞房地产土地资产评估咨询有限公司</w:t>
      </w:r>
    </w:p>
    <w:p>
      <w:pPr>
        <w:keepNext w:val="0"/>
        <w:keepLines w:val="0"/>
        <w:pageBreakBefore w:val="0"/>
        <w:widowControl w:val="0"/>
        <w:shd w:val="clear" w:color="auto" w:fill="auto"/>
        <w:kinsoku/>
        <w:wordWrap/>
        <w:overflowPunct/>
        <w:topLinePunct w:val="0"/>
        <w:autoSpaceDE/>
        <w:autoSpaceDN/>
        <w:bidi w:val="0"/>
        <w:adjustRightInd/>
        <w:snapToGrid/>
        <w:spacing w:line="572"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highlight w:val="auto"/>
        </w:rPr>
        <w:t>5.河源市勤信土地与房地产评估有限公司</w:t>
      </w:r>
    </w:p>
    <w:p>
      <w:pPr>
        <w:keepNext w:val="0"/>
        <w:keepLines w:val="0"/>
        <w:pageBreakBefore w:val="0"/>
        <w:widowControl w:val="0"/>
        <w:shd w:val="clear" w:color="auto" w:fill="auto"/>
        <w:kinsoku/>
        <w:wordWrap/>
        <w:overflowPunct/>
        <w:topLinePunct w:val="0"/>
        <w:autoSpaceDE/>
        <w:autoSpaceDN/>
        <w:bidi w:val="0"/>
        <w:adjustRightInd/>
        <w:snapToGrid/>
        <w:spacing w:before="0" w:line="572" w:lineRule="exact"/>
        <w:ind w:left="0" w:firstLineChars="200" w:firstLine="640"/>
        <w:jc w:val="left"/>
        <w:textAlignment w:val="auto"/>
        <w:outlineLvl w:val="1"/>
        <w:rPr>
          <w:rFonts w:ascii="宋体" w:eastAsia="宋体" w:cs="宋体" w:hint="eastAsia"/>
          <w:b/>
          <w:bCs/>
          <w:color w:val="auto"/>
          <w:spacing w:val="0"/>
          <w:sz w:val="32"/>
          <w:szCs w:val="32"/>
          <w:highlight w:val="auto"/>
        </w:rPr>
      </w:pPr>
      <w:bookmarkStart w:id="17" w:name="_Toc150"/>
      <w:r>
        <w:rPr>
          <w:rFonts w:ascii="宋体" w:eastAsia="宋体" w:cs="宋体" w:hint="eastAsia"/>
          <w:b/>
          <w:bCs/>
          <w:color w:val="auto"/>
          <w:spacing w:val="0"/>
          <w:sz w:val="32"/>
          <w:szCs w:val="32"/>
          <w:lang w:eastAsia="zh-CN"/>
          <w:highlight w:val="auto"/>
        </w:rPr>
        <w:t>（十）</w:t>
      </w:r>
      <w:r>
        <w:rPr>
          <w:rFonts w:ascii="宋体" w:eastAsia="宋体" w:cs="宋体" w:hint="eastAsia"/>
          <w:b/>
          <w:bCs/>
          <w:color w:val="auto"/>
          <w:spacing w:val="0"/>
          <w:sz w:val="32"/>
          <w:szCs w:val="32"/>
          <w:highlight w:val="auto"/>
        </w:rPr>
        <w:t>征收实施步骤</w:t>
      </w:r>
      <w:bookmarkEnd w:id="17"/>
    </w:p>
    <w:p>
      <w:pPr>
        <w:keepNext w:val="0"/>
        <w:keepLines w:val="0"/>
        <w:pageBreakBefore w:val="0"/>
        <w:widowControl w:val="0"/>
        <w:shd w:val="clear" w:color="auto" w:fill="auto"/>
        <w:kinsoku/>
        <w:wordWrap/>
        <w:overflowPunct/>
        <w:topLinePunct w:val="0"/>
        <w:autoSpaceDE/>
        <w:autoSpaceDN/>
        <w:bidi w:val="0"/>
        <w:adjustRightInd/>
        <w:snapToGrid/>
        <w:spacing w:line="572" w:lineRule="exact"/>
        <w:ind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highlight w:val="auto"/>
        </w:rPr>
        <w:t>自发布本项目</w:t>
      </w:r>
      <w:r>
        <w:rPr>
          <w:rFonts w:ascii="宋体" w:eastAsia="宋体" w:cs="宋体" w:hint="eastAsia"/>
          <w:b w:val="0"/>
          <w:bCs w:val="0"/>
          <w:color w:val="auto"/>
          <w:spacing w:val="0"/>
          <w:sz w:val="32"/>
          <w:szCs w:val="32"/>
          <w:lang w:eastAsia="zh-CN"/>
          <w:highlight w:val="auto"/>
        </w:rPr>
        <w:t>土地、</w:t>
      </w:r>
      <w:r>
        <w:rPr>
          <w:rFonts w:ascii="宋体" w:eastAsia="宋体" w:cs="宋体" w:hint="eastAsia"/>
          <w:b w:val="0"/>
          <w:bCs w:val="0"/>
          <w:color w:val="auto"/>
          <w:spacing w:val="0"/>
          <w:sz w:val="32"/>
          <w:szCs w:val="32"/>
          <w:highlight w:val="auto"/>
        </w:rPr>
        <w:t>房屋征收决定后，按照以下程序开展房屋征收工作：</w:t>
      </w:r>
    </w:p>
    <w:p>
      <w:pPr>
        <w:keepNext w:val="0"/>
        <w:keepLines w:val="0"/>
        <w:pageBreakBefore w:val="0"/>
        <w:widowControl w:val="0"/>
        <w:shd w:val="clear" w:color="auto" w:fill="auto"/>
        <w:kinsoku/>
        <w:wordWrap/>
        <w:overflowPunct/>
        <w:topLinePunct w:val="0"/>
        <w:autoSpaceDE/>
        <w:autoSpaceDN/>
        <w:bidi w:val="0"/>
        <w:adjustRightInd/>
        <w:snapToGrid/>
        <w:spacing w:line="572" w:lineRule="exact"/>
        <w:ind w:left="0" w:firstLineChars="200" w:firstLine="640"/>
        <w:textAlignment w:val="auto"/>
        <w:outlineLvl w:val="9"/>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val="en-US" w:eastAsia="zh-CN"/>
          <w:highlight w:val="auto"/>
        </w:rPr>
        <w:t>1.</w:t>
      </w:r>
      <w:r>
        <w:rPr>
          <w:rFonts w:ascii="宋体" w:eastAsia="宋体" w:cs="宋体" w:hint="eastAsia"/>
          <w:b w:val="0"/>
          <w:bCs w:val="0"/>
          <w:color w:val="auto"/>
          <w:spacing w:val="0"/>
          <w:sz w:val="32"/>
          <w:szCs w:val="32"/>
          <w:highlight w:val="auto"/>
        </w:rPr>
        <w:t>现场公示：</w:t>
      </w:r>
    </w:p>
    <w:p>
      <w:pPr>
        <w:keepNext w:val="0"/>
        <w:keepLines w:val="0"/>
        <w:pageBreakBefore w:val="0"/>
        <w:widowControl w:val="0"/>
        <w:shd w:val="clear" w:color="auto" w:fill="auto"/>
        <w:kinsoku/>
        <w:wordWrap/>
        <w:overflowPunct/>
        <w:topLinePunct w:val="0"/>
        <w:autoSpaceDE/>
        <w:autoSpaceDN/>
        <w:bidi w:val="0"/>
        <w:adjustRightInd/>
        <w:snapToGrid/>
        <w:spacing w:line="572" w:lineRule="exact"/>
        <w:ind w:left="0" w:firstLineChars="200" w:firstLine="640"/>
        <w:textAlignment w:val="auto"/>
        <w:outlineLvl w:val="9"/>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lang w:val="en-US" w:eastAsia="zh-CN"/>
          <w:highlight w:val="auto"/>
        </w:rPr>
        <w:t>1</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w:t>
      </w:r>
      <w:r>
        <w:rPr>
          <w:rFonts w:ascii="宋体" w:eastAsia="宋体" w:cs="宋体" w:hint="eastAsia"/>
          <w:b w:val="0"/>
          <w:bCs w:val="0"/>
          <w:color w:val="auto"/>
          <w:spacing w:val="0"/>
          <w:sz w:val="32"/>
          <w:szCs w:val="32"/>
          <w:lang w:eastAsia="zh-CN"/>
          <w:highlight w:val="auto"/>
        </w:rPr>
        <w:t>广东岑田抽水蓄能电站项目建（构）筑物及地上附着物</w:t>
      </w:r>
      <w:r>
        <w:rPr>
          <w:rFonts w:ascii="宋体" w:eastAsia="宋体" w:cs="宋体" w:hint="eastAsia"/>
          <w:b w:val="0"/>
          <w:bCs w:val="0"/>
          <w:color w:val="auto"/>
          <w:spacing w:val="0"/>
          <w:sz w:val="32"/>
          <w:szCs w:val="32"/>
          <w:highlight w:val="auto"/>
        </w:rPr>
        <w:t>征收的决定公告》</w:t>
      </w:r>
    </w:p>
    <w:p>
      <w:pPr>
        <w:keepNext w:val="0"/>
        <w:keepLines w:val="0"/>
        <w:pageBreakBefore w:val="0"/>
        <w:widowControl w:val="0"/>
        <w:shd w:val="clear" w:color="auto" w:fill="auto"/>
        <w:kinsoku/>
        <w:wordWrap/>
        <w:overflowPunct/>
        <w:topLinePunct w:val="0"/>
        <w:autoSpaceDE/>
        <w:autoSpaceDN/>
        <w:bidi w:val="0"/>
        <w:adjustRightInd/>
        <w:snapToGrid/>
        <w:spacing w:line="572"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lang w:val="en-US" w:eastAsia="zh-CN"/>
          <w:highlight w:val="auto"/>
        </w:rPr>
        <w:t>2</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w:t>
      </w:r>
      <w:r>
        <w:rPr>
          <w:rFonts w:ascii="宋体" w:eastAsia="宋体" w:cs="宋体" w:hint="eastAsia"/>
          <w:b w:val="0"/>
          <w:bCs w:val="0"/>
          <w:color w:val="auto"/>
          <w:spacing w:val="0"/>
          <w:sz w:val="32"/>
          <w:szCs w:val="32"/>
          <w:lang w:eastAsia="zh-CN"/>
          <w:highlight w:val="auto"/>
        </w:rPr>
        <w:t>广东岑田抽水蓄能电站项目建（构）筑物及地上附着物</w:t>
      </w:r>
      <w:r>
        <w:rPr>
          <w:rFonts w:ascii="宋体" w:eastAsia="宋体" w:cs="宋体" w:hint="eastAsia"/>
          <w:b w:val="0"/>
          <w:bCs w:val="0"/>
          <w:color w:val="auto"/>
          <w:spacing w:val="0"/>
          <w:sz w:val="32"/>
          <w:szCs w:val="32"/>
          <w:highlight w:val="auto"/>
        </w:rPr>
        <w:t>征收与补偿方案》</w:t>
      </w:r>
    </w:p>
    <w:p>
      <w:pPr>
        <w:keepNext w:val="0"/>
        <w:keepLines w:val="0"/>
        <w:pageBreakBefore w:val="0"/>
        <w:widowControl w:val="0"/>
        <w:shd w:val="clear" w:color="auto" w:fill="auto"/>
        <w:kinsoku/>
        <w:wordWrap/>
        <w:overflowPunct/>
        <w:topLinePunct w:val="0"/>
        <w:autoSpaceDE/>
        <w:autoSpaceDN/>
        <w:bidi w:val="0"/>
        <w:adjustRightInd/>
        <w:snapToGrid/>
        <w:spacing w:line="572"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lang w:val="en-US" w:eastAsia="zh-CN"/>
          <w:highlight w:val="auto"/>
        </w:rPr>
        <w:t>3</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国家、省、市、县房屋征收与补偿有关的法规、规范性文件等。</w:t>
      </w:r>
    </w:p>
    <w:p>
      <w:pPr>
        <w:keepNext w:val="0"/>
        <w:keepLines w:val="0"/>
        <w:pageBreakBefore w:val="0"/>
        <w:widowControl w:val="0"/>
        <w:shd w:val="clear" w:color="auto" w:fill="auto"/>
        <w:kinsoku/>
        <w:wordWrap/>
        <w:overflowPunct/>
        <w:topLinePunct w:val="0"/>
        <w:autoSpaceDE/>
        <w:autoSpaceDN/>
        <w:bidi w:val="0"/>
        <w:adjustRightInd/>
        <w:snapToGrid/>
        <w:spacing w:line="572"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lang w:val="en-US" w:eastAsia="zh-CN"/>
          <w:highlight w:val="auto"/>
        </w:rPr>
        <w:t>4</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征收实施单位名称、征收工作人员。</w:t>
      </w:r>
    </w:p>
    <w:p>
      <w:pPr>
        <w:keepNext w:val="0"/>
        <w:keepLines w:val="0"/>
        <w:pageBreakBefore w:val="0"/>
        <w:widowControl w:val="0"/>
        <w:shd w:val="clear" w:color="auto" w:fill="auto"/>
        <w:kinsoku/>
        <w:wordWrap/>
        <w:overflowPunct/>
        <w:topLinePunct w:val="0"/>
        <w:autoSpaceDE/>
        <w:autoSpaceDN/>
        <w:bidi w:val="0"/>
        <w:adjustRightInd/>
        <w:snapToGrid/>
        <w:spacing w:line="572" w:lineRule="exact"/>
        <w:ind w:left="0" w:firstLineChars="200" w:firstLine="640"/>
        <w:textAlignment w:val="auto"/>
        <w:outlineLvl w:val="9"/>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val="en-US" w:eastAsia="zh-CN"/>
          <w:highlight w:val="auto"/>
        </w:rPr>
        <w:t>2.</w:t>
      </w:r>
      <w:r>
        <w:rPr>
          <w:rFonts w:ascii="宋体" w:eastAsia="宋体" w:cs="宋体" w:hint="eastAsia"/>
          <w:b w:val="0"/>
          <w:bCs w:val="0"/>
          <w:color w:val="auto"/>
          <w:spacing w:val="0"/>
          <w:sz w:val="32"/>
          <w:szCs w:val="32"/>
          <w:highlight w:val="auto"/>
        </w:rPr>
        <w:t>宣传《</w:t>
      </w:r>
      <w:r>
        <w:rPr>
          <w:rFonts w:ascii="宋体" w:eastAsia="宋体" w:cs="宋体" w:hint="eastAsia"/>
          <w:b w:val="0"/>
          <w:bCs w:val="0"/>
          <w:color w:val="auto"/>
          <w:spacing w:val="0"/>
          <w:sz w:val="32"/>
          <w:szCs w:val="32"/>
          <w:lang w:eastAsia="zh-CN"/>
          <w:highlight w:val="auto"/>
        </w:rPr>
        <w:t>广东岑田抽水蓄能电站项目建（构）筑物及地上附着物</w:t>
      </w:r>
      <w:r>
        <w:rPr>
          <w:rFonts w:ascii="宋体" w:eastAsia="宋体" w:cs="宋体" w:hint="eastAsia"/>
          <w:b w:val="0"/>
          <w:bCs w:val="0"/>
          <w:color w:val="auto"/>
          <w:spacing w:val="0"/>
          <w:sz w:val="32"/>
          <w:szCs w:val="32"/>
          <w:highlight w:val="auto"/>
        </w:rPr>
        <w:t>征收与补偿方案》。</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outlineLvl w:val="9"/>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val="en-US" w:eastAsia="zh-CN"/>
          <w:highlight w:val="auto"/>
        </w:rPr>
        <w:t>3.</w:t>
      </w:r>
      <w:r>
        <w:rPr>
          <w:rFonts w:ascii="宋体" w:eastAsia="宋体" w:cs="宋体" w:hint="eastAsia"/>
          <w:b w:val="0"/>
          <w:bCs w:val="0"/>
          <w:color w:val="auto"/>
          <w:spacing w:val="0"/>
          <w:sz w:val="32"/>
          <w:szCs w:val="32"/>
          <w:highlight w:val="auto"/>
        </w:rPr>
        <w:t>确定房地产评估机构，评估机构由被征收人协商选定，协商不成的，由房屋征收</w:t>
      </w:r>
      <w:r>
        <w:rPr>
          <w:rFonts w:ascii="宋体" w:eastAsia="宋体" w:cs="宋体" w:hint="eastAsia"/>
          <w:b w:val="0"/>
          <w:bCs w:val="0"/>
          <w:color w:val="auto"/>
          <w:spacing w:val="0"/>
          <w:sz w:val="32"/>
          <w:szCs w:val="32"/>
          <w:lang w:val="en-US" w:eastAsia="zh-CN"/>
          <w:highlight w:val="auto"/>
        </w:rPr>
        <w:t>实施单位</w:t>
      </w:r>
      <w:r>
        <w:rPr>
          <w:rFonts w:ascii="宋体" w:eastAsia="宋体" w:cs="宋体" w:hint="eastAsia"/>
          <w:b w:val="0"/>
          <w:bCs w:val="0"/>
          <w:color w:val="auto"/>
          <w:spacing w:val="0"/>
          <w:sz w:val="32"/>
          <w:szCs w:val="32"/>
          <w:highlight w:val="auto"/>
        </w:rPr>
        <w:t>组织被征收人通过多数决定、随机选定等方式确定。</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outlineLvl w:val="9"/>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val="en-US" w:eastAsia="zh-CN"/>
          <w:highlight w:val="auto"/>
        </w:rPr>
        <w:t>4.房地产</w:t>
      </w:r>
      <w:r>
        <w:rPr>
          <w:rFonts w:ascii="宋体" w:eastAsia="宋体" w:cs="宋体" w:hint="eastAsia"/>
          <w:b w:val="0"/>
          <w:bCs w:val="0"/>
          <w:color w:val="auto"/>
          <w:spacing w:val="0"/>
          <w:sz w:val="32"/>
          <w:szCs w:val="32"/>
          <w:highlight w:val="auto"/>
        </w:rPr>
        <w:t>评估机构对被征收范围内房屋进行评估。被征收人应当协助注册房地产估价师对被征收房屋进行实地查勘，提供或者协助搜集被征收房屋价值评估所必需的情况和资料。</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outlineLvl w:val="9"/>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val="en-US" w:eastAsia="zh-CN"/>
          <w:highlight w:val="auto"/>
        </w:rPr>
        <w:t>5.</w:t>
      </w:r>
      <w:r>
        <w:rPr>
          <w:rFonts w:ascii="宋体" w:eastAsia="宋体" w:cs="宋体" w:hint="eastAsia"/>
          <w:b w:val="0"/>
          <w:bCs w:val="0"/>
          <w:color w:val="auto"/>
          <w:spacing w:val="0"/>
          <w:sz w:val="32"/>
          <w:szCs w:val="32"/>
          <w:highlight w:val="auto"/>
        </w:rPr>
        <w:t>公示初步评估结果。房屋征收实施单位应当将初步评估结果在征收范围内向被征收人公示。公示期间，评估机构应当安排注册房地产估价师对初步评估结果进行现场说明解释。对评估结果有异议的，可以向房地产价格评估机构申请复核评估。对复核结果有异议的，可以向房地产价格评估专家委员会申请鉴定。</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outlineLvl w:val="9"/>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val="en-US" w:eastAsia="zh-CN"/>
          <w:highlight w:val="auto"/>
        </w:rPr>
        <w:t>6.</w:t>
      </w:r>
      <w:r>
        <w:rPr>
          <w:rFonts w:ascii="宋体" w:eastAsia="宋体" w:cs="宋体" w:hint="eastAsia"/>
          <w:b w:val="0"/>
          <w:bCs w:val="0"/>
          <w:color w:val="auto"/>
          <w:spacing w:val="0"/>
          <w:sz w:val="32"/>
          <w:szCs w:val="32"/>
          <w:highlight w:val="auto"/>
        </w:rPr>
        <w:t>签约期限内，由征收实施单位与被征收人签订征收补偿协议。签订补偿协议时被征收人需带房屋所有权证、</w:t>
      </w:r>
      <w:r>
        <w:rPr>
          <w:rFonts w:ascii="宋体" w:eastAsia="宋体" w:cs="宋体" w:hint="eastAsia"/>
          <w:b w:val="0"/>
          <w:bCs w:val="0"/>
          <w:color w:val="auto"/>
          <w:spacing w:val="0"/>
          <w:sz w:val="32"/>
          <w:szCs w:val="32"/>
          <w:lang w:eastAsia="zh-CN"/>
          <w:highlight w:val="auto"/>
        </w:rPr>
        <w:t>国有土地使用证</w:t>
      </w:r>
      <w:r>
        <w:rPr>
          <w:rFonts w:ascii="宋体" w:eastAsia="宋体" w:cs="宋体" w:hint="eastAsia"/>
          <w:b w:val="0"/>
          <w:bCs w:val="0"/>
          <w:color w:val="auto"/>
          <w:spacing w:val="0"/>
          <w:sz w:val="32"/>
          <w:szCs w:val="32"/>
          <w:highlight w:val="auto"/>
        </w:rPr>
        <w:t>、户口簿、身份证、营业执照等原件和复印件，房屋征收实施单位应收回房屋所有权证、</w:t>
      </w:r>
      <w:r>
        <w:rPr>
          <w:rFonts w:ascii="宋体" w:eastAsia="宋体" w:cs="宋体" w:hint="eastAsia"/>
          <w:b w:val="0"/>
          <w:bCs w:val="0"/>
          <w:color w:val="auto"/>
          <w:spacing w:val="0"/>
          <w:sz w:val="32"/>
          <w:szCs w:val="32"/>
          <w:lang w:eastAsia="zh-CN"/>
          <w:highlight w:val="auto"/>
        </w:rPr>
        <w:t>国有土地使用证</w:t>
      </w:r>
      <w:r>
        <w:rPr>
          <w:rFonts w:ascii="宋体" w:eastAsia="宋体" w:cs="宋体" w:hint="eastAsia"/>
          <w:b w:val="0"/>
          <w:bCs w:val="0"/>
          <w:color w:val="auto"/>
          <w:spacing w:val="0"/>
          <w:sz w:val="32"/>
          <w:szCs w:val="32"/>
          <w:highlight w:val="auto"/>
        </w:rPr>
        <w:t>等证件材料。</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outlineLvl w:val="9"/>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val="en-US" w:eastAsia="zh-CN"/>
          <w:highlight w:val="auto"/>
        </w:rPr>
        <w:t>7.</w:t>
      </w:r>
      <w:r>
        <w:rPr>
          <w:rFonts w:ascii="宋体" w:eastAsia="宋体" w:cs="宋体" w:hint="eastAsia"/>
          <w:b w:val="0"/>
          <w:bCs w:val="0"/>
          <w:color w:val="auto"/>
          <w:spacing w:val="0"/>
          <w:sz w:val="32"/>
          <w:szCs w:val="32"/>
          <w:highlight w:val="auto"/>
        </w:rPr>
        <w:t>签约期限届满，</w:t>
      </w:r>
      <w:r>
        <w:rPr>
          <w:rFonts w:ascii="宋体" w:eastAsia="宋体" w:cs="宋体" w:hint="eastAsia"/>
          <w:b w:val="0"/>
          <w:bCs w:val="0"/>
          <w:color w:val="auto"/>
          <w:spacing w:val="0"/>
          <w:sz w:val="32"/>
          <w:szCs w:val="32"/>
          <w:shd w:val="clear" w:color="auto" w:fill="auto"/>
          <w:highlight w:val="auto"/>
        </w:rPr>
        <w:t>被征收人未能达成补偿协议的，</w:t>
      </w:r>
      <w:r>
        <w:rPr>
          <w:rFonts w:ascii="宋体" w:eastAsia="宋体" w:cs="宋体" w:hint="eastAsia"/>
          <w:b w:val="0"/>
          <w:bCs w:val="0"/>
          <w:color w:val="auto"/>
          <w:spacing w:val="0"/>
          <w:sz w:val="32"/>
          <w:szCs w:val="32"/>
          <w:highlight w:val="auto"/>
        </w:rPr>
        <w:t>由县房屋征收部门报请县政府，按照房屋征收补偿方案作出房屋征收补偿决定，并在房屋征收范围内予以公告。</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Chars="200" w:firstLine="640"/>
        <w:textAlignment w:val="auto"/>
        <w:rPr>
          <w:rFonts w:ascii="宋体" w:eastAsia="宋体" w:cs="宋体" w:hint="eastAsia"/>
          <w:b w:val="0"/>
          <w:bCs w:val="0"/>
          <w:color w:val="auto"/>
          <w:spacing w:val="0"/>
          <w:sz w:val="32"/>
          <w:szCs w:val="32"/>
          <w:lang w:eastAsia="zh-CN"/>
          <w:highlight w:val="auto"/>
        </w:rPr>
      </w:pPr>
      <w:r>
        <w:rPr>
          <w:rFonts w:ascii="宋体" w:eastAsia="宋体" w:cs="宋体" w:hint="eastAsia"/>
          <w:b w:val="0"/>
          <w:bCs w:val="0"/>
          <w:color w:val="auto"/>
          <w:spacing w:val="0"/>
          <w:sz w:val="32"/>
          <w:szCs w:val="32"/>
          <w:highlight w:val="auto"/>
        </w:rPr>
        <w:t>被征收人应当自觉履行房屋征收补偿决定，如不服该征收补偿决定，</w:t>
      </w:r>
      <w:r>
        <w:rPr>
          <w:rFonts w:ascii="宋体" w:eastAsia="宋体" w:cs="宋体" w:hint="eastAsia"/>
          <w:b w:val="0"/>
          <w:bCs w:val="0"/>
          <w:color w:val="auto"/>
          <w:spacing w:val="0"/>
          <w:sz w:val="32"/>
          <w:szCs w:val="32"/>
          <w:lang w:eastAsia="zh-CN"/>
          <w:highlight w:val="auto"/>
        </w:rPr>
        <w:t>被征收人</w:t>
      </w:r>
      <w:r>
        <w:rPr>
          <w:rFonts w:ascii="宋体" w:eastAsia="宋体" w:cs="宋体" w:hint="eastAsia"/>
          <w:b w:val="0"/>
          <w:bCs w:val="0"/>
          <w:color w:val="auto"/>
          <w:spacing w:val="0"/>
          <w:sz w:val="32"/>
          <w:szCs w:val="32"/>
          <w:highlight w:val="auto"/>
        </w:rPr>
        <w:t>可以在</w:t>
      </w:r>
      <w:r>
        <w:rPr>
          <w:rFonts w:ascii="宋体" w:eastAsia="宋体" w:cs="宋体" w:hint="eastAsia"/>
          <w:b w:val="0"/>
          <w:bCs w:val="0"/>
          <w:color w:val="auto"/>
          <w:spacing w:val="0"/>
          <w:sz w:val="32"/>
          <w:szCs w:val="32"/>
          <w:lang w:eastAsia="zh-CN"/>
          <w:highlight w:val="auto"/>
        </w:rPr>
        <w:t>收到</w:t>
      </w:r>
      <w:r>
        <w:rPr>
          <w:rFonts w:ascii="宋体" w:eastAsia="宋体" w:cs="宋体" w:hint="eastAsia"/>
          <w:b w:val="0"/>
          <w:bCs w:val="0"/>
          <w:color w:val="auto"/>
          <w:spacing w:val="0"/>
          <w:sz w:val="32"/>
          <w:szCs w:val="32"/>
          <w:highlight w:val="auto"/>
        </w:rPr>
        <w:t>房屋征收补偿</w:t>
      </w:r>
      <w:r>
        <w:rPr>
          <w:rFonts w:ascii="宋体" w:eastAsia="宋体" w:cs="宋体" w:hint="eastAsia"/>
          <w:b w:val="0"/>
          <w:bCs w:val="0"/>
          <w:color w:val="auto"/>
          <w:spacing w:val="0"/>
          <w:sz w:val="32"/>
          <w:szCs w:val="32"/>
          <w:lang w:eastAsia="zh-CN"/>
          <w:highlight w:val="auto"/>
        </w:rPr>
        <w:t>决定书</w:t>
      </w:r>
      <w:r>
        <w:rPr>
          <w:rFonts w:ascii="宋体" w:eastAsia="宋体" w:cs="宋体" w:hint="eastAsia"/>
          <w:b w:val="0"/>
          <w:bCs w:val="0"/>
          <w:color w:val="auto"/>
          <w:spacing w:val="0"/>
          <w:sz w:val="32"/>
          <w:szCs w:val="32"/>
          <w:highlight w:val="auto"/>
        </w:rPr>
        <w:t>之日起60日内依法申请行政复</w:t>
      </w:r>
      <w:r>
        <w:rPr>
          <w:rFonts w:ascii="宋体" w:eastAsia="宋体" w:cs="宋体" w:hint="eastAsia"/>
          <w:b w:val="0"/>
          <w:bCs w:val="0"/>
          <w:color w:val="auto"/>
          <w:spacing w:val="0"/>
          <w:sz w:val="32"/>
          <w:szCs w:val="32"/>
          <w:lang w:eastAsia="zh-CN"/>
          <w:highlight w:val="auto"/>
        </w:rPr>
        <w:t>议（在行政复议期间不得向人民法院提起诉讼，或者在6个月内向人民法院提起行政诉讼）。</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highlight w:val="auto"/>
        </w:rPr>
        <w:t>被征收人在法定期限内既不申请行政复议又不提起行政诉讼，在补偿决定规定的期限内又不搬迁的，由东源县政府申请法院强制执行。</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outlineLvl w:val="9"/>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val="en-US" w:eastAsia="zh-CN"/>
          <w:highlight w:val="auto"/>
        </w:rPr>
        <w:t>8.选择货币补偿的，</w:t>
      </w:r>
      <w:r>
        <w:rPr>
          <w:rFonts w:ascii="宋体" w:eastAsia="宋体" w:cs="宋体" w:hint="eastAsia"/>
          <w:b w:val="0"/>
          <w:bCs w:val="0"/>
          <w:color w:val="auto"/>
          <w:spacing w:val="0"/>
          <w:sz w:val="32"/>
          <w:szCs w:val="32"/>
          <w:highlight w:val="auto"/>
        </w:rPr>
        <w:t>在签订补偿协议领取首期补偿款并搬迁完毕，经征收工作人员验收后领取补偿尾款，补偿工作结束。</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outlineLvl w:val="9"/>
        <w:rPr>
          <w:rFonts w:ascii="宋体" w:eastAsia="宋体" w:cs="宋体" w:hint="eastAsia"/>
          <w:b w:val="0"/>
          <w:bCs w:val="0"/>
          <w:color w:val="auto"/>
          <w:spacing w:val="0"/>
          <w:sz w:val="32"/>
          <w:szCs w:val="32"/>
          <w:lang w:val="en-US" w:eastAsia="zh-CN"/>
          <w:highlight w:val="auto"/>
        </w:rPr>
      </w:pPr>
      <w:r>
        <w:rPr>
          <w:rFonts w:ascii="宋体" w:eastAsia="宋体" w:cs="宋体" w:hint="eastAsia"/>
          <w:b w:val="0"/>
          <w:bCs w:val="0"/>
          <w:color w:val="auto"/>
          <w:spacing w:val="0"/>
          <w:sz w:val="32"/>
          <w:szCs w:val="32"/>
          <w:lang w:val="en-US" w:eastAsia="zh-CN"/>
          <w:highlight w:val="auto"/>
        </w:rPr>
        <w:t>9.选择回迁安置的，在签订补偿协议并搬迁完毕后，经征收工作人员验收并与被征收人计算、结清被征收回迁安置面积差异的差价款，按多还少补原则结清差价款。征收实施单位与被征收人双方结清差价后，选定回迁安置地，补偿工作结束。</w:t>
      </w:r>
    </w:p>
    <w:p>
      <w:pPr>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firstLineChars="200" w:firstLine="640"/>
        <w:jc w:val="left"/>
        <w:textAlignment w:val="auto"/>
        <w:outlineLvl w:val="1"/>
        <w:rPr>
          <w:rFonts w:ascii="宋体" w:eastAsia="宋体" w:cs="宋体" w:hint="eastAsia"/>
          <w:b/>
          <w:bCs/>
          <w:color w:val="auto"/>
          <w:spacing w:val="0"/>
          <w:sz w:val="32"/>
          <w:szCs w:val="32"/>
          <w:highlight w:val="auto"/>
        </w:rPr>
      </w:pPr>
      <w:bookmarkStart w:id="18" w:name="_Toc9312"/>
      <w:r>
        <w:rPr>
          <w:rFonts w:ascii="宋体" w:eastAsia="宋体" w:cs="宋体" w:hint="eastAsia"/>
          <w:b/>
          <w:bCs/>
          <w:color w:val="auto"/>
          <w:spacing w:val="0"/>
          <w:sz w:val="32"/>
          <w:szCs w:val="32"/>
          <w:lang w:eastAsia="zh-CN"/>
          <w:highlight w:val="auto"/>
        </w:rPr>
        <w:t>（十一）</w:t>
      </w:r>
      <w:r>
        <w:rPr>
          <w:rFonts w:ascii="宋体" w:eastAsia="宋体" w:cs="宋体" w:hint="eastAsia"/>
          <w:b/>
          <w:bCs/>
          <w:color w:val="auto"/>
          <w:spacing w:val="0"/>
          <w:sz w:val="32"/>
          <w:szCs w:val="32"/>
          <w:highlight w:val="auto"/>
        </w:rPr>
        <w:t>其他有关事项</w:t>
      </w:r>
      <w:bookmarkEnd w:id="18"/>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val="en-US" w:eastAsia="zh-CN"/>
          <w:highlight w:val="auto"/>
        </w:rPr>
        <w:t>1.</w:t>
      </w:r>
      <w:r>
        <w:rPr>
          <w:rFonts w:ascii="宋体" w:eastAsia="宋体" w:cs="宋体" w:hint="eastAsia"/>
          <w:b w:val="0"/>
          <w:bCs w:val="0"/>
          <w:color w:val="auto"/>
          <w:spacing w:val="0"/>
          <w:sz w:val="32"/>
          <w:szCs w:val="32"/>
          <w:highlight w:val="auto"/>
        </w:rPr>
        <w:t>被征收房屋的水、电等迁移、转户、销户手续，由被征收人自行到有关部门申请办理，并负责结清已使用的水、电等费用。</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val="en-US" w:eastAsia="zh-CN"/>
          <w:highlight w:val="auto"/>
        </w:rPr>
        <w:t>2.</w:t>
      </w:r>
      <w:r>
        <w:rPr>
          <w:rFonts w:ascii="宋体" w:eastAsia="宋体" w:cs="宋体" w:hint="eastAsia"/>
          <w:b w:val="0"/>
          <w:bCs w:val="0"/>
          <w:color w:val="auto"/>
          <w:spacing w:val="0"/>
          <w:sz w:val="32"/>
          <w:szCs w:val="32"/>
          <w:highlight w:val="auto"/>
        </w:rPr>
        <w:t>征收房屋涉及的中、小学生需要异地就学的，可以在现居住地学校就读；需要过渡临时就学的，可以在临时居住地学校就读；需要回迁就学的，可以在回迁居住地学校就读。学生居住地教育行政主管部门负责安排办理有关学生的转学工作，所在学校不得收取择校费或者以非本学区学生为由拒绝学生入学和收取其他费用。</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val="en-US" w:eastAsia="zh-CN"/>
          <w:highlight w:val="auto"/>
        </w:rPr>
        <w:t>3.</w:t>
      </w:r>
      <w:r>
        <w:rPr>
          <w:rFonts w:ascii="宋体" w:eastAsia="宋体" w:cs="宋体" w:hint="eastAsia"/>
          <w:b w:val="0"/>
          <w:bCs w:val="0"/>
          <w:color w:val="auto"/>
          <w:spacing w:val="0"/>
          <w:sz w:val="32"/>
          <w:szCs w:val="32"/>
          <w:highlight w:val="auto"/>
        </w:rPr>
        <w:t>被征收房屋的注销登记</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房屋征收实施单位应当在被征收房屋拆除后30日内，持房屋征收决定、补偿协议、房屋所有权证书、国有土地使用权证书办理房屋所有权、土地使用权注销登记手续。</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val="en-US" w:eastAsia="zh-CN"/>
          <w:highlight w:val="auto"/>
        </w:rPr>
        <w:t>4.</w:t>
      </w:r>
      <w:r>
        <w:rPr>
          <w:rFonts w:ascii="宋体" w:eastAsia="宋体" w:cs="宋体" w:hint="eastAsia"/>
          <w:b w:val="0"/>
          <w:bCs w:val="0"/>
          <w:color w:val="auto"/>
          <w:spacing w:val="0"/>
          <w:sz w:val="32"/>
          <w:szCs w:val="32"/>
          <w:highlight w:val="auto"/>
        </w:rPr>
        <w:t>征收产权不明确的房屋，由房屋征收部门提出补偿方案，报县政府同意，并向公证机关办理证据保全后实施征收</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待产权明确后再补偿给产权所有人。</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jc w:val="left"/>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val="en-US" w:eastAsia="zh-CN"/>
          <w:highlight w:val="auto"/>
        </w:rPr>
        <w:t>5.</w:t>
      </w:r>
      <w:r>
        <w:rPr>
          <w:rFonts w:ascii="宋体" w:eastAsia="宋体" w:cs="宋体" w:hint="eastAsia"/>
          <w:b w:val="0"/>
          <w:bCs w:val="0"/>
          <w:color w:val="auto"/>
          <w:spacing w:val="0"/>
          <w:sz w:val="32"/>
          <w:szCs w:val="32"/>
          <w:highlight w:val="auto"/>
        </w:rPr>
        <w:t xml:space="preserve">本方案未列明事项按《河源市城市规划区房屋征收与补偿实施办法》 </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河府</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2017</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44号）及市、县政府相关文件执行。</w:t>
      </w:r>
    </w:p>
    <w:p>
      <w:pPr>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firstLineChars="200" w:firstLine="640"/>
        <w:jc w:val="both"/>
        <w:textAlignment w:val="auto"/>
        <w:outlineLvl w:val="0"/>
        <w:rPr>
          <w:rFonts w:ascii="宋体" w:eastAsia="宋体" w:cs="宋体" w:hint="eastAsia"/>
          <w:b/>
          <w:bCs/>
          <w:color w:val="auto"/>
          <w:spacing w:val="0"/>
          <w:sz w:val="32"/>
          <w:szCs w:val="32"/>
          <w:highlight w:val="auto"/>
        </w:rPr>
      </w:pPr>
      <w:bookmarkStart w:id="19" w:name="_Toc6189"/>
      <w:r>
        <w:rPr>
          <w:rFonts w:ascii="宋体" w:eastAsia="宋体" w:cs="宋体" w:hint="eastAsia"/>
          <w:b/>
          <w:bCs/>
          <w:color w:val="auto"/>
          <w:spacing w:val="0"/>
          <w:sz w:val="32"/>
          <w:szCs w:val="32"/>
          <w:highlight w:val="auto"/>
        </w:rPr>
        <w:t>三、货币补偿方式</w:t>
      </w:r>
      <w:bookmarkEnd w:id="19"/>
    </w:p>
    <w:p>
      <w:pPr>
        <w:keepNext w:val="0"/>
        <w:keepLines w:val="0"/>
        <w:pageBreakBefore w:val="0"/>
        <w:widowControl w:val="0"/>
        <w:numPr>
          <w:ilvl w:val="0"/>
          <w:numId w:val="4"/>
        </w:numPr>
        <w:shd w:val="clear" w:color="auto" w:fill="auto"/>
        <w:kinsoku/>
        <w:wordWrap/>
        <w:overflowPunct/>
        <w:topLinePunct w:val="0"/>
        <w:autoSpaceDE/>
        <w:autoSpaceDN/>
        <w:bidi w:val="0"/>
        <w:adjustRightInd/>
        <w:snapToGrid/>
        <w:spacing w:line="600" w:lineRule="exact"/>
        <w:ind w:left="0" w:firstLine="42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highlight w:val="auto"/>
        </w:rPr>
        <w:t>被征收人</w:t>
      </w:r>
      <w:r>
        <w:rPr>
          <w:rFonts w:ascii="宋体" w:eastAsia="宋体" w:cs="宋体" w:hint="eastAsia"/>
          <w:b w:val="0"/>
          <w:bCs w:val="0"/>
          <w:color w:val="auto"/>
          <w:spacing w:val="0"/>
          <w:sz w:val="32"/>
          <w:szCs w:val="32"/>
          <w:lang w:eastAsia="zh-CN"/>
          <w:highlight w:val="auto"/>
        </w:rPr>
        <w:t>选择</w:t>
      </w:r>
      <w:r>
        <w:rPr>
          <w:rFonts w:ascii="宋体" w:eastAsia="宋体" w:cs="宋体" w:hint="eastAsia"/>
          <w:b w:val="0"/>
          <w:bCs w:val="0"/>
          <w:color w:val="auto"/>
          <w:spacing w:val="0"/>
          <w:sz w:val="32"/>
          <w:szCs w:val="32"/>
          <w:highlight w:val="auto"/>
        </w:rPr>
        <w:t>房屋</w:t>
      </w:r>
      <w:r>
        <w:rPr>
          <w:rFonts w:ascii="宋体" w:eastAsia="宋体" w:cs="宋体" w:hint="eastAsia"/>
          <w:b w:val="0"/>
          <w:bCs w:val="0"/>
          <w:color w:val="auto"/>
          <w:spacing w:val="0"/>
          <w:sz w:val="32"/>
          <w:szCs w:val="32"/>
          <w:lang w:eastAsia="zh-CN"/>
          <w:highlight w:val="auto"/>
        </w:rPr>
        <w:t>货币</w:t>
      </w:r>
      <w:r>
        <w:rPr>
          <w:rFonts w:ascii="宋体" w:eastAsia="宋体" w:cs="宋体" w:hint="eastAsia"/>
          <w:b w:val="0"/>
          <w:bCs w:val="0"/>
          <w:color w:val="auto"/>
          <w:spacing w:val="0"/>
          <w:sz w:val="32"/>
          <w:szCs w:val="32"/>
          <w:highlight w:val="auto"/>
        </w:rPr>
        <w:t>补偿</w:t>
      </w:r>
      <w:r>
        <w:rPr>
          <w:rFonts w:ascii="宋体" w:eastAsia="宋体" w:cs="宋体" w:hint="eastAsia"/>
          <w:b w:val="0"/>
          <w:bCs w:val="0"/>
          <w:color w:val="auto"/>
          <w:spacing w:val="0"/>
          <w:sz w:val="32"/>
          <w:szCs w:val="32"/>
          <w:lang w:eastAsia="zh-CN"/>
          <w:highlight w:val="auto"/>
        </w:rPr>
        <w:t>的</w:t>
      </w:r>
      <w:r>
        <w:rPr>
          <w:rFonts w:ascii="宋体" w:eastAsia="宋体" w:cs="宋体" w:hint="eastAsia"/>
          <w:b w:val="0"/>
          <w:bCs w:val="0"/>
          <w:color w:val="auto"/>
          <w:spacing w:val="0"/>
          <w:sz w:val="32"/>
          <w:szCs w:val="32"/>
          <w:highlight w:val="auto"/>
        </w:rPr>
        <w:t>，</w:t>
      </w:r>
      <w:r>
        <w:rPr>
          <w:rFonts w:ascii="宋体" w:eastAsia="宋体" w:cs="宋体" w:hint="eastAsia"/>
          <w:b w:val="0"/>
          <w:bCs w:val="0"/>
          <w:color w:val="auto"/>
          <w:spacing w:val="0"/>
          <w:sz w:val="32"/>
          <w:szCs w:val="32"/>
          <w:lang w:eastAsia="zh-CN"/>
          <w:highlight w:val="auto"/>
        </w:rPr>
        <w:t>被征收房屋的补偿金额，</w:t>
      </w:r>
      <w:r>
        <w:rPr>
          <w:rFonts w:ascii="宋体" w:eastAsia="宋体" w:cs="宋体" w:hint="eastAsia"/>
          <w:b w:val="0"/>
          <w:bCs w:val="0"/>
          <w:color w:val="auto"/>
          <w:spacing w:val="0"/>
          <w:sz w:val="32"/>
          <w:szCs w:val="32"/>
          <w:highlight w:val="auto"/>
        </w:rPr>
        <w:t>由</w:t>
      </w:r>
      <w:r>
        <w:rPr>
          <w:rFonts w:ascii="宋体" w:eastAsia="宋体" w:cs="宋体" w:hint="eastAsia"/>
          <w:b w:val="0"/>
          <w:bCs w:val="0"/>
          <w:color w:val="auto"/>
          <w:spacing w:val="0"/>
          <w:sz w:val="32"/>
          <w:szCs w:val="32"/>
          <w:lang w:val="en-US" w:eastAsia="zh-CN"/>
          <w:highlight w:val="auto"/>
        </w:rPr>
        <w:t>房屋征收实施单位</w:t>
      </w:r>
      <w:r>
        <w:rPr>
          <w:rFonts w:ascii="宋体" w:eastAsia="宋体" w:cs="宋体" w:hint="eastAsia"/>
          <w:b w:val="0"/>
          <w:bCs w:val="0"/>
          <w:color w:val="auto"/>
          <w:spacing w:val="0"/>
          <w:sz w:val="32"/>
          <w:szCs w:val="32"/>
          <w:highlight w:val="auto"/>
        </w:rPr>
        <w:t xml:space="preserve">协同被征收人选定具有相应资质的房地产评估机构参照《国有土地上房屋征收评估办法》 </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建房</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2011</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77号）及河源市</w:t>
      </w:r>
      <w:r>
        <w:rPr>
          <w:rFonts w:ascii="宋体" w:eastAsia="宋体" w:cs="宋体" w:hint="eastAsia"/>
          <w:b w:val="0"/>
          <w:bCs w:val="0"/>
          <w:color w:val="auto"/>
          <w:spacing w:val="0"/>
          <w:sz w:val="32"/>
          <w:szCs w:val="32"/>
          <w:lang w:eastAsia="zh-CN"/>
          <w:highlight w:val="auto"/>
        </w:rPr>
        <w:t>、东源县</w:t>
      </w:r>
      <w:r>
        <w:rPr>
          <w:rFonts w:ascii="宋体" w:eastAsia="宋体" w:cs="宋体" w:hint="eastAsia"/>
          <w:b w:val="0"/>
          <w:bCs w:val="0"/>
          <w:color w:val="auto"/>
          <w:spacing w:val="0"/>
          <w:sz w:val="32"/>
          <w:szCs w:val="32"/>
          <w:highlight w:val="auto"/>
        </w:rPr>
        <w:t>房屋征收相关规定进行评估确定。</w:t>
      </w:r>
    </w:p>
    <w:p>
      <w:pPr>
        <w:keepNext w:val="0"/>
        <w:keepLines w:val="0"/>
        <w:pageBreakBefore w:val="0"/>
        <w:widowControl w:val="0"/>
        <w:numPr>
          <w:ilvl w:val="0"/>
          <w:numId w:val="4"/>
        </w:numPr>
        <w:shd w:val="clear" w:color="auto" w:fill="auto"/>
        <w:kinsoku/>
        <w:wordWrap/>
        <w:overflowPunct/>
        <w:topLinePunct w:val="0"/>
        <w:autoSpaceDE/>
        <w:autoSpaceDN/>
        <w:bidi w:val="0"/>
        <w:adjustRightInd/>
        <w:snapToGrid/>
        <w:spacing w:line="600" w:lineRule="exact"/>
        <w:ind w:left="0" w:firstLine="420"/>
        <w:textAlignment w:val="auto"/>
        <w:rPr>
          <w:rFonts w:ascii="宋体" w:eastAsia="宋体" w:cs="宋体" w:hint="eastAsia"/>
          <w:b w:val="0"/>
          <w:bCs w:val="0"/>
          <w:color w:val="auto"/>
          <w:spacing w:val="0"/>
          <w:sz w:val="32"/>
          <w:szCs w:val="32"/>
          <w:lang w:eastAsia="zh-CN"/>
          <w:highlight w:val="auto"/>
        </w:rPr>
      </w:pPr>
      <w:r>
        <w:rPr>
          <w:rFonts w:ascii="宋体" w:eastAsia="宋体" w:cs="宋体" w:hint="eastAsia"/>
          <w:b w:val="0"/>
          <w:bCs w:val="0"/>
          <w:color w:val="auto"/>
          <w:spacing w:val="0"/>
          <w:sz w:val="32"/>
          <w:szCs w:val="32"/>
          <w:highlight w:val="auto"/>
        </w:rPr>
        <w:t>货币补偿在签订补偿协议之日起5个工作日内支付50%补偿款，被征收人必须在10天内搬迁完毕</w:t>
      </w:r>
      <w:r>
        <w:rPr>
          <w:rFonts w:ascii="宋体" w:eastAsia="宋体" w:cs="宋体" w:hint="eastAsia"/>
          <w:b w:val="0"/>
          <w:bCs w:val="0"/>
          <w:color w:val="auto"/>
          <w:spacing w:val="0"/>
          <w:sz w:val="32"/>
          <w:szCs w:val="32"/>
          <w:lang w:eastAsia="zh-CN"/>
          <w:highlight w:val="auto"/>
        </w:rPr>
        <w:t>、腾空房屋</w:t>
      </w:r>
      <w:r>
        <w:rPr>
          <w:rFonts w:ascii="宋体" w:eastAsia="宋体" w:cs="宋体" w:hint="eastAsia"/>
          <w:b w:val="0"/>
          <w:bCs w:val="0"/>
          <w:color w:val="auto"/>
          <w:spacing w:val="0"/>
          <w:sz w:val="32"/>
          <w:szCs w:val="32"/>
          <w:highlight w:val="auto"/>
        </w:rPr>
        <w:t>；房屋搬迁</w:t>
      </w:r>
      <w:r>
        <w:rPr>
          <w:rFonts w:ascii="宋体" w:eastAsia="宋体" w:cs="宋体" w:hint="eastAsia"/>
          <w:b w:val="0"/>
          <w:bCs w:val="0"/>
          <w:color w:val="auto"/>
          <w:spacing w:val="0"/>
          <w:sz w:val="32"/>
          <w:szCs w:val="32"/>
          <w:lang w:eastAsia="zh-CN"/>
          <w:highlight w:val="auto"/>
        </w:rPr>
        <w:t>腾空</w:t>
      </w:r>
      <w:r>
        <w:rPr>
          <w:rFonts w:ascii="宋体" w:eastAsia="宋体" w:cs="宋体" w:hint="eastAsia"/>
          <w:b w:val="0"/>
          <w:bCs w:val="0"/>
          <w:color w:val="auto"/>
          <w:spacing w:val="0"/>
          <w:sz w:val="32"/>
          <w:szCs w:val="32"/>
          <w:highlight w:val="auto"/>
        </w:rPr>
        <w:t>后5个工作日内再支付50%补偿款。已作补偿的建（构）筑物及附属物归政府所有，被征收人不得毁坏和自行拆除（房屋征收实施单位同意的除外）</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如被征收人自行拆除，因拆除房屋或拆除后留下的残墙断壁造成的安全责任事故，由被征收人负全责。</w:t>
      </w:r>
    </w:p>
    <w:p>
      <w:pPr>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firstLineChars="200" w:firstLine="640"/>
        <w:jc w:val="both"/>
        <w:textAlignment w:val="auto"/>
        <w:outlineLvl w:val="0"/>
        <w:rPr>
          <w:rFonts w:ascii="宋体" w:eastAsia="宋体" w:cs="宋体" w:hint="eastAsia"/>
          <w:b/>
          <w:bCs/>
          <w:color w:val="auto"/>
          <w:spacing w:val="0"/>
          <w:sz w:val="32"/>
          <w:szCs w:val="32"/>
          <w:highlight w:val="auto"/>
        </w:rPr>
      </w:pPr>
      <w:bookmarkStart w:id="20" w:name="_Toc26294"/>
      <w:r>
        <w:rPr>
          <w:rFonts w:ascii="宋体" w:eastAsia="宋体" w:cs="宋体" w:hint="eastAsia"/>
          <w:b/>
          <w:bCs/>
          <w:color w:val="auto"/>
          <w:spacing w:val="0"/>
          <w:sz w:val="32"/>
          <w:szCs w:val="32"/>
          <w:lang w:eastAsia="zh-CN"/>
          <w:highlight w:val="auto"/>
        </w:rPr>
        <w:t>四</w:t>
      </w:r>
      <w:r>
        <w:rPr>
          <w:rFonts w:ascii="宋体" w:eastAsia="宋体" w:cs="宋体" w:hint="eastAsia"/>
          <w:b/>
          <w:bCs/>
          <w:color w:val="auto"/>
          <w:spacing w:val="0"/>
          <w:sz w:val="32"/>
          <w:szCs w:val="32"/>
          <w:highlight w:val="auto"/>
        </w:rPr>
        <w:t>、</w:t>
      </w:r>
      <w:r>
        <w:rPr>
          <w:rFonts w:ascii="宋体" w:eastAsia="宋体" w:cs="宋体" w:hint="eastAsia"/>
          <w:b/>
          <w:bCs/>
          <w:color w:val="auto"/>
          <w:spacing w:val="0"/>
          <w:sz w:val="32"/>
          <w:szCs w:val="32"/>
          <w:lang w:eastAsia="zh-CN"/>
          <w:highlight w:val="auto"/>
        </w:rPr>
        <w:t>回迁地安置</w:t>
      </w:r>
      <w:r>
        <w:rPr>
          <w:rFonts w:ascii="宋体" w:eastAsia="宋体" w:cs="宋体" w:hint="eastAsia"/>
          <w:b/>
          <w:bCs/>
          <w:color w:val="auto"/>
          <w:spacing w:val="0"/>
          <w:sz w:val="32"/>
          <w:szCs w:val="32"/>
          <w:highlight w:val="auto"/>
        </w:rPr>
        <w:t>补偿方式</w:t>
      </w:r>
      <w:bookmarkEnd w:id="20"/>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jc w:val="left"/>
        <w:textAlignment w:val="auto"/>
        <w:rPr>
          <w:rFonts w:ascii="宋体" w:eastAsia="宋体" w:cs="宋体" w:hint="eastAsia"/>
          <w:b w:val="0"/>
          <w:bCs w:val="0"/>
          <w:color w:val="auto"/>
          <w:spacing w:val="0"/>
          <w:sz w:val="32"/>
          <w:szCs w:val="32"/>
          <w:lang w:val="en-US" w:eastAsia="zh-CN"/>
          <w:highlight w:val="auto"/>
        </w:rPr>
      </w:pPr>
      <w:r>
        <w:rPr>
          <w:rFonts w:ascii="宋体" w:eastAsia="宋体" w:cs="宋体" w:hint="eastAsia"/>
          <w:b w:val="0"/>
          <w:bCs w:val="0"/>
          <w:color w:val="auto"/>
          <w:spacing w:val="0"/>
          <w:sz w:val="32"/>
          <w:szCs w:val="32"/>
          <w:lang w:val="en-US" w:eastAsia="zh-CN"/>
          <w:highlight w:val="auto"/>
        </w:rPr>
        <w:t>根据《国有土地上房屋征收与补偿条例》（国务院令[2011]第 590号）及《河源市城市规划区房屋征收与补偿实施办法》（河府[2017]44号）等法律法规的有关规定。房屋征收实施单位应提供相应数量的回迁安置地供被征收人进行选择。</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jc w:val="left"/>
        <w:textAlignment w:val="auto"/>
        <w:rPr>
          <w:rFonts w:ascii="宋体" w:eastAsia="宋体" w:cs="宋体" w:hint="eastAsia"/>
          <w:b w:val="0"/>
          <w:bCs w:val="0"/>
          <w:color w:val="auto"/>
          <w:spacing w:val="0"/>
          <w:sz w:val="32"/>
          <w:szCs w:val="32"/>
          <w:lang w:val="en-US" w:eastAsia="zh-CN"/>
          <w:highlight w:val="auto"/>
        </w:rPr>
      </w:pPr>
      <w:r>
        <w:rPr>
          <w:rFonts w:ascii="宋体" w:eastAsia="宋体" w:cs="宋体" w:hint="eastAsia"/>
          <w:b w:val="0"/>
          <w:bCs w:val="0"/>
          <w:color w:val="auto"/>
          <w:spacing w:val="0"/>
          <w:sz w:val="32"/>
          <w:szCs w:val="32"/>
          <w:lang w:val="en-US" w:eastAsia="zh-CN"/>
          <w:highlight w:val="auto"/>
        </w:rPr>
        <w:t>回迁安置地安置原则：</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jc w:val="left"/>
        <w:textAlignment w:val="auto"/>
        <w:rPr>
          <w:rFonts w:ascii="宋体" w:eastAsia="宋体" w:cs="宋体" w:hint="eastAsia"/>
          <w:b w:val="0"/>
          <w:bCs w:val="0"/>
          <w:color w:val="auto"/>
          <w:spacing w:val="0"/>
          <w:sz w:val="32"/>
          <w:szCs w:val="32"/>
          <w:lang w:val="en-US" w:eastAsia="zh-CN"/>
          <w:highlight w:val="auto"/>
        </w:rPr>
      </w:pPr>
      <w:r>
        <w:rPr>
          <w:rFonts w:ascii="宋体" w:eastAsia="宋体" w:cs="宋体" w:hint="eastAsia"/>
          <w:b w:val="0"/>
          <w:bCs w:val="0"/>
          <w:color w:val="auto"/>
          <w:spacing w:val="0"/>
          <w:sz w:val="32"/>
          <w:szCs w:val="32"/>
          <w:lang w:val="en-US" w:eastAsia="zh-CN"/>
          <w:highlight w:val="auto"/>
        </w:rPr>
        <w:t>（一）符合以下两个条件的房屋可享受按投影占地面积 1:1回迁安置：①有门窗②有装修③有人居住；</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jc w:val="left"/>
        <w:textAlignment w:val="auto"/>
        <w:rPr>
          <w:rFonts w:ascii="宋体" w:eastAsia="宋体" w:cs="宋体" w:hint="eastAsia"/>
          <w:b w:val="0"/>
          <w:bCs w:val="0"/>
          <w:color w:val="auto"/>
          <w:spacing w:val="0"/>
          <w:sz w:val="32"/>
          <w:szCs w:val="32"/>
          <w:lang w:val="en-US" w:eastAsia="zh-CN"/>
          <w:highlight w:val="auto"/>
        </w:rPr>
      </w:pPr>
      <w:r>
        <w:rPr>
          <w:rFonts w:ascii="宋体" w:eastAsia="宋体" w:cs="宋体" w:hint="eastAsia"/>
          <w:b w:val="0"/>
          <w:bCs w:val="0"/>
          <w:color w:val="auto"/>
          <w:spacing w:val="0"/>
          <w:sz w:val="32"/>
          <w:szCs w:val="32"/>
          <w:lang w:val="en-US" w:eastAsia="zh-CN"/>
          <w:highlight w:val="auto"/>
        </w:rPr>
        <w:t>（二）经界定小组界定为符合居住条件的住宅房屋按被征收房屋的投影占地面积1:1比例回迁安置一卡回迁安置地，原则上面积不足40平方米不予安置，具体以镇村按实际情况执行，安置后多出或不足的面积按开发成本价（1500元/㎡）给予结算差价。</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jc w:val="left"/>
        <w:textAlignment w:val="auto"/>
        <w:rPr>
          <w:rFonts w:ascii="宋体" w:eastAsia="宋体" w:cs="宋体" w:hint="eastAsia"/>
          <w:b w:val="0"/>
          <w:bCs w:val="0"/>
          <w:color w:val="auto"/>
          <w:spacing w:val="0"/>
          <w:sz w:val="32"/>
          <w:szCs w:val="32"/>
          <w:lang w:val="en-US" w:eastAsia="zh-CN"/>
          <w:highlight w:val="auto"/>
        </w:rPr>
      </w:pPr>
      <w:r>
        <w:rPr>
          <w:rFonts w:ascii="宋体" w:eastAsia="宋体" w:cs="宋体" w:hint="eastAsia"/>
          <w:b w:val="0"/>
          <w:bCs w:val="0"/>
          <w:color w:val="auto"/>
          <w:spacing w:val="0"/>
          <w:sz w:val="32"/>
          <w:szCs w:val="32"/>
          <w:lang w:val="en-US" w:eastAsia="zh-CN"/>
          <w:highlight w:val="auto"/>
        </w:rPr>
        <w:t>1、本次实行集中回迁安置（具体位置根据规划设计决定），回迁安置地为期地，在未落实回迁安置地过程中，征收人支付被征收人过渡安置费用。</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jc w:val="left"/>
        <w:textAlignment w:val="auto"/>
        <w:rPr>
          <w:rFonts w:ascii="宋体" w:eastAsia="宋体" w:cs="宋体" w:hint="eastAsia"/>
          <w:b w:val="0"/>
          <w:bCs w:val="0"/>
          <w:color w:val="auto"/>
          <w:spacing w:val="0"/>
          <w:sz w:val="32"/>
          <w:szCs w:val="32"/>
          <w:lang w:val="en-US" w:eastAsia="zh-CN"/>
          <w:highlight w:val="auto"/>
        </w:rPr>
      </w:pPr>
      <w:r>
        <w:rPr>
          <w:rFonts w:ascii="宋体" w:eastAsia="宋体" w:cs="宋体" w:hint="eastAsia"/>
          <w:b w:val="0"/>
          <w:bCs w:val="0"/>
          <w:color w:val="auto"/>
          <w:spacing w:val="0"/>
          <w:sz w:val="32"/>
          <w:szCs w:val="32"/>
          <w:lang w:val="en-US" w:eastAsia="zh-CN"/>
          <w:highlight w:val="auto"/>
        </w:rPr>
        <w:t>2、回迁安置地选择按先签订协议先选的原则。房屋征收实施单位将回迁安置地的规划情况以及安置方案、规划平面图等张榜公布。根据《征收补偿协议》签订时间先后顺序，结合回迁安置地的实际情况，做好安置工作，明确安置流程：</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jc w:val="left"/>
        <w:textAlignment w:val="auto"/>
        <w:rPr>
          <w:rFonts w:ascii="宋体" w:eastAsia="宋体" w:cs="宋体" w:hint="eastAsia"/>
          <w:b w:val="0"/>
          <w:bCs w:val="0"/>
          <w:color w:val="auto"/>
          <w:spacing w:val="0"/>
          <w:sz w:val="32"/>
          <w:szCs w:val="32"/>
          <w:lang w:val="en-US" w:eastAsia="zh-CN"/>
          <w:highlight w:val="auto"/>
        </w:rPr>
      </w:pPr>
      <w:r>
        <w:rPr>
          <w:rFonts w:ascii="宋体" w:eastAsia="宋体" w:cs="宋体" w:hint="eastAsia"/>
          <w:b w:val="0"/>
          <w:bCs w:val="0"/>
          <w:color w:val="auto"/>
          <w:spacing w:val="0"/>
          <w:sz w:val="32"/>
          <w:szCs w:val="32"/>
          <w:lang w:val="en-US" w:eastAsia="zh-CN"/>
          <w:highlight w:val="auto"/>
        </w:rPr>
        <w:t>①、在征收公告发布之日起20天内签订协议的被征收户集中统一抽签；②、采取多方参与监督，坚持公正、公平、公开；③、每户只能选派一名代表进行一次性抽取号码；④、回迁安置地（卡号）选择以抽号方式进行，按照《征收补偿协议》签订的先后顺序进行抽取号码，再依据号码顺序选择回迁安置地具体位置（卡号）。</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jc w:val="left"/>
        <w:textAlignment w:val="auto"/>
        <w:rPr>
          <w:rFonts w:ascii="宋体" w:eastAsia="宋体" w:cs="宋体" w:hint="eastAsia"/>
          <w:b w:val="0"/>
          <w:bCs w:val="0"/>
          <w:color w:val="auto"/>
          <w:spacing w:val="0"/>
          <w:sz w:val="32"/>
          <w:szCs w:val="32"/>
          <w:lang w:val="en-US" w:eastAsia="zh-CN"/>
          <w:highlight w:val="auto"/>
        </w:rPr>
      </w:pPr>
      <w:r>
        <w:rPr>
          <w:rFonts w:ascii="宋体" w:eastAsia="宋体" w:cs="宋体" w:hint="eastAsia"/>
          <w:b w:val="0"/>
          <w:bCs w:val="0"/>
          <w:color w:val="auto"/>
          <w:spacing w:val="0"/>
          <w:sz w:val="32"/>
          <w:szCs w:val="32"/>
          <w:lang w:val="en-US" w:eastAsia="zh-CN"/>
          <w:highlight w:val="auto"/>
        </w:rPr>
        <w:t>征收单位接受被征收人咨询、监督。</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jc w:val="left"/>
        <w:textAlignment w:val="auto"/>
        <w:rPr>
          <w:rFonts w:ascii="宋体" w:eastAsia="宋体" w:cs="宋体" w:hint="eastAsia"/>
          <w:b w:val="0"/>
          <w:bCs w:val="0"/>
          <w:color w:val="auto"/>
          <w:spacing w:val="0"/>
          <w:sz w:val="32"/>
          <w:szCs w:val="32"/>
          <w:lang w:val="en-US" w:eastAsia="zh-CN"/>
          <w:highlight w:val="auto"/>
        </w:rPr>
      </w:pPr>
      <w:r>
        <w:rPr>
          <w:rFonts w:ascii="宋体" w:eastAsia="宋体" w:cs="宋体" w:hint="eastAsia"/>
          <w:b w:val="0"/>
          <w:bCs w:val="0"/>
          <w:color w:val="auto"/>
          <w:spacing w:val="0"/>
          <w:sz w:val="32"/>
          <w:szCs w:val="32"/>
          <w:lang w:val="en-US" w:eastAsia="zh-CN"/>
          <w:highlight w:val="auto"/>
        </w:rPr>
        <w:t>（三）非“拆一补一”安置的房屋，按房屋投影占地面积给予300元/㎡土地平整补助。</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Chars="200" w:firstLine="640"/>
        <w:textAlignment w:val="auto"/>
        <w:outlineLvl w:val="0"/>
        <w:rPr>
          <w:rFonts w:ascii="宋体" w:eastAsia="宋体" w:cs="宋体" w:hint="eastAsia"/>
          <w:b/>
          <w:bCs/>
          <w:color w:val="auto"/>
          <w:spacing w:val="0"/>
          <w:sz w:val="32"/>
          <w:szCs w:val="32"/>
          <w:highlight w:val="auto"/>
        </w:rPr>
      </w:pPr>
      <w:bookmarkStart w:id="21" w:name="_Toc26366"/>
      <w:r>
        <w:rPr>
          <w:rFonts w:ascii="宋体" w:eastAsia="宋体" w:cs="宋体" w:hint="eastAsia"/>
          <w:b/>
          <w:bCs/>
          <w:color w:val="auto"/>
          <w:spacing w:val="0"/>
          <w:sz w:val="32"/>
          <w:szCs w:val="32"/>
          <w:lang w:eastAsia="zh-CN"/>
          <w:highlight w:val="auto"/>
        </w:rPr>
        <w:t>五</w:t>
      </w:r>
      <w:r>
        <w:rPr>
          <w:rFonts w:ascii="宋体" w:eastAsia="宋体" w:cs="宋体" w:hint="eastAsia"/>
          <w:b/>
          <w:bCs/>
          <w:color w:val="auto"/>
          <w:spacing w:val="0"/>
          <w:sz w:val="32"/>
          <w:szCs w:val="32"/>
          <w:highlight w:val="auto"/>
        </w:rPr>
        <w:t>、其他补偿、补助费用</w:t>
      </w:r>
      <w:bookmarkEnd w:id="21"/>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eastAsia="zh-CN"/>
          <w:highlight w:val="auto"/>
        </w:rPr>
        <w:t>（一）</w:t>
      </w:r>
      <w:r>
        <w:rPr>
          <w:rFonts w:ascii="宋体" w:eastAsia="宋体" w:cs="宋体" w:hint="eastAsia"/>
          <w:b w:val="0"/>
          <w:bCs w:val="0"/>
          <w:color w:val="auto"/>
          <w:spacing w:val="0"/>
          <w:sz w:val="32"/>
          <w:szCs w:val="32"/>
          <w:highlight w:val="auto"/>
        </w:rPr>
        <w:t>临时建（构）筑物及地上附着物。以不重复补偿为原则，房屋以外的构筑（附着）物已通过本方案的有关规定获得补偿的，不再补偿；未获补偿的，按照重置价评估给予货币补偿。</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lang w:eastAsia="zh-CN"/>
          <w:highlight w:val="auto"/>
        </w:rPr>
      </w:pPr>
      <w:r>
        <w:rPr>
          <w:rFonts w:ascii="宋体" w:eastAsia="宋体" w:cs="宋体" w:hint="eastAsia"/>
          <w:b w:val="0"/>
          <w:bCs w:val="0"/>
          <w:color w:val="auto"/>
          <w:spacing w:val="0"/>
          <w:sz w:val="32"/>
          <w:szCs w:val="32"/>
          <w:lang w:eastAsia="zh-CN"/>
          <w:highlight w:val="auto"/>
        </w:rPr>
        <w:t>（二）</w:t>
      </w:r>
      <w:r>
        <w:rPr>
          <w:rFonts w:ascii="宋体" w:eastAsia="宋体" w:cs="宋体" w:hint="eastAsia"/>
          <w:b w:val="0"/>
          <w:bCs w:val="0"/>
          <w:color w:val="auto"/>
          <w:spacing w:val="0"/>
          <w:sz w:val="32"/>
          <w:szCs w:val="32"/>
          <w:highlight w:val="auto"/>
        </w:rPr>
        <w:t>室内装饰装修。</w:t>
      </w:r>
      <w:r>
        <w:rPr>
          <w:rFonts w:ascii="宋体" w:eastAsia="宋体" w:cs="宋体" w:hint="eastAsia"/>
          <w:b w:val="0"/>
          <w:bCs w:val="0"/>
          <w:color w:val="auto"/>
          <w:spacing w:val="0"/>
          <w:sz w:val="32"/>
          <w:szCs w:val="32"/>
          <w:lang w:eastAsia="zh-CN"/>
          <w:highlight w:val="auto"/>
        </w:rPr>
        <w:t>被征收房屋室内装修装饰费补偿，按照评估确定的重置成新价给予补偿。若装修档次不符，按照评估公司现场评估为准。</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eastAsia="zh-CN"/>
          <w:highlight w:val="auto"/>
        </w:rPr>
        <w:t>（三）</w:t>
      </w:r>
      <w:r>
        <w:rPr>
          <w:rFonts w:ascii="宋体" w:eastAsia="宋体" w:cs="宋体" w:hint="eastAsia"/>
          <w:b w:val="0"/>
          <w:bCs w:val="0"/>
          <w:color w:val="auto"/>
          <w:spacing w:val="0"/>
          <w:sz w:val="32"/>
          <w:szCs w:val="32"/>
          <w:highlight w:val="auto"/>
        </w:rPr>
        <w:t>三线一管迁移费。被征收人的空调、太阳能设备等，按照价格主管部门规定的移动安装费用或者市场价格给予补偿。</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eastAsia="zh-CN"/>
          <w:highlight w:val="auto"/>
        </w:rPr>
        <w:t>（四）</w:t>
      </w:r>
      <w:r>
        <w:rPr>
          <w:rFonts w:ascii="宋体" w:eastAsia="宋体" w:cs="宋体" w:hint="eastAsia"/>
          <w:b w:val="0"/>
          <w:bCs w:val="0"/>
          <w:color w:val="auto"/>
          <w:spacing w:val="0"/>
          <w:sz w:val="32"/>
          <w:szCs w:val="32"/>
          <w:highlight w:val="auto"/>
        </w:rPr>
        <w:t>搬迁费</w:t>
      </w:r>
      <w:r>
        <w:rPr>
          <w:rFonts w:ascii="宋体" w:eastAsia="宋体" w:cs="宋体" w:hint="eastAsia"/>
          <w:b w:val="0"/>
          <w:bCs w:val="0"/>
          <w:color w:val="auto"/>
          <w:spacing w:val="0"/>
          <w:sz w:val="32"/>
          <w:szCs w:val="32"/>
          <w:lang w:eastAsia="zh-CN"/>
          <w:highlight w:val="auto"/>
        </w:rPr>
        <w:t>及搬迁补助</w:t>
      </w:r>
      <w:r>
        <w:rPr>
          <w:rFonts w:ascii="宋体" w:eastAsia="宋体" w:cs="宋体" w:hint="eastAsia"/>
          <w:b w:val="0"/>
          <w:bCs w:val="0"/>
          <w:color w:val="auto"/>
          <w:spacing w:val="0"/>
          <w:sz w:val="32"/>
          <w:szCs w:val="32"/>
          <w:highlight w:val="auto"/>
        </w:rPr>
        <w:t>。因征收造成搬迁的，以现场</w:t>
      </w:r>
      <w:r>
        <w:rPr>
          <w:rFonts w:ascii="宋体" w:eastAsia="宋体" w:cs="宋体" w:hint="eastAsia"/>
          <w:b w:val="0"/>
          <w:bCs w:val="0"/>
          <w:color w:val="auto"/>
          <w:spacing w:val="0"/>
          <w:sz w:val="32"/>
          <w:szCs w:val="32"/>
          <w:lang w:eastAsia="zh-CN"/>
          <w:highlight w:val="auto"/>
        </w:rPr>
        <w:t>察</w:t>
      </w:r>
      <w:r>
        <w:rPr>
          <w:rFonts w:ascii="宋体" w:eastAsia="宋体" w:cs="宋体" w:hint="eastAsia"/>
          <w:b w:val="0"/>
          <w:bCs w:val="0"/>
          <w:color w:val="auto"/>
          <w:spacing w:val="0"/>
          <w:sz w:val="32"/>
          <w:szCs w:val="32"/>
          <w:highlight w:val="auto"/>
        </w:rPr>
        <w:t>看为准（附相关照片为佐证材料），给予被征收人按</w:t>
      </w:r>
      <w:r>
        <w:rPr>
          <w:rFonts w:ascii="宋体" w:eastAsia="宋体" w:cs="宋体" w:hint="eastAsia"/>
          <w:b w:val="0"/>
          <w:bCs w:val="0"/>
          <w:color w:val="auto"/>
          <w:spacing w:val="0"/>
          <w:sz w:val="32"/>
          <w:szCs w:val="32"/>
          <w:lang w:eastAsia="zh-CN"/>
          <w:highlight w:val="auto"/>
        </w:rPr>
        <w:t>房屋</w:t>
      </w:r>
      <w:r>
        <w:rPr>
          <w:rFonts w:ascii="宋体" w:eastAsia="宋体" w:cs="宋体" w:hint="eastAsia"/>
          <w:b w:val="0"/>
          <w:bCs w:val="0"/>
          <w:color w:val="auto"/>
          <w:spacing w:val="0"/>
          <w:sz w:val="32"/>
          <w:szCs w:val="32"/>
          <w:highlight w:val="auto"/>
        </w:rPr>
        <w:t>建筑面积一次性支付每平方米</w:t>
      </w:r>
      <w:r>
        <w:rPr>
          <w:rFonts w:ascii="宋体" w:eastAsia="宋体" w:cs="宋体" w:hint="eastAsia"/>
          <w:b w:val="0"/>
          <w:bCs w:val="0"/>
          <w:color w:val="auto"/>
          <w:spacing w:val="0"/>
          <w:sz w:val="32"/>
          <w:szCs w:val="32"/>
          <w:lang w:val="en-US" w:eastAsia="zh-CN"/>
          <w:highlight w:val="auto"/>
        </w:rPr>
        <w:t>20</w:t>
      </w:r>
      <w:r>
        <w:rPr>
          <w:rFonts w:ascii="宋体" w:eastAsia="宋体" w:cs="宋体" w:hint="eastAsia"/>
          <w:b w:val="0"/>
          <w:bCs w:val="0"/>
          <w:color w:val="auto"/>
          <w:spacing w:val="0"/>
          <w:sz w:val="32"/>
          <w:szCs w:val="32"/>
          <w:highlight w:val="auto"/>
        </w:rPr>
        <w:t>元的搬迁费</w:t>
      </w:r>
      <w:r>
        <w:rPr>
          <w:rFonts w:ascii="宋体" w:eastAsia="宋体" w:cs="宋体" w:hint="eastAsia"/>
          <w:b w:val="0"/>
          <w:bCs w:val="0"/>
          <w:color w:val="auto"/>
          <w:spacing w:val="0"/>
          <w:sz w:val="32"/>
          <w:szCs w:val="32"/>
          <w:lang w:val="en-US" w:eastAsia="zh-CN"/>
          <w:highlight w:val="auto"/>
        </w:rPr>
        <w:t>及20元搬迁补助</w:t>
      </w:r>
      <w:r>
        <w:rPr>
          <w:rFonts w:ascii="宋体" w:eastAsia="宋体" w:cs="宋体" w:hint="eastAsia"/>
          <w:b w:val="0"/>
          <w:bCs w:val="0"/>
          <w:color w:val="auto"/>
          <w:spacing w:val="0"/>
          <w:sz w:val="32"/>
          <w:szCs w:val="32"/>
          <w:highlight w:val="auto"/>
        </w:rPr>
        <w:t>。</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outlineLvl w:val="1"/>
        <w:rPr>
          <w:rFonts w:ascii="宋体" w:eastAsia="宋体" w:cs="宋体" w:hint="eastAsia"/>
          <w:b w:val="0"/>
          <w:bCs w:val="0"/>
          <w:color w:val="auto"/>
          <w:spacing w:val="0"/>
          <w:sz w:val="32"/>
          <w:szCs w:val="32"/>
          <w:lang w:eastAsia="zh-CN"/>
          <w:highlight w:val="auto"/>
        </w:rPr>
      </w:pPr>
      <w:bookmarkStart w:id="22" w:name="_Toc9578"/>
      <w:r>
        <w:rPr>
          <w:rFonts w:ascii="宋体" w:eastAsia="宋体" w:cs="宋体" w:hint="eastAsia"/>
          <w:b w:val="0"/>
          <w:bCs w:val="0"/>
          <w:color w:val="auto"/>
          <w:spacing w:val="0"/>
          <w:sz w:val="32"/>
          <w:szCs w:val="32"/>
          <w:lang w:eastAsia="zh-CN"/>
          <w:highlight w:val="auto"/>
        </w:rPr>
        <w:t>（五）</w:t>
      </w:r>
      <w:r>
        <w:rPr>
          <w:rFonts w:ascii="宋体" w:eastAsia="宋体" w:cs="宋体" w:hint="eastAsia"/>
          <w:b w:val="0"/>
          <w:bCs w:val="0"/>
          <w:color w:val="auto"/>
          <w:spacing w:val="0"/>
          <w:sz w:val="32"/>
          <w:szCs w:val="32"/>
          <w:highlight w:val="auto"/>
        </w:rPr>
        <w:t>临时安置费</w:t>
      </w:r>
      <w:r>
        <w:rPr>
          <w:rFonts w:ascii="宋体" w:eastAsia="宋体" w:cs="宋体" w:hint="eastAsia"/>
          <w:b w:val="0"/>
          <w:bCs w:val="0"/>
          <w:color w:val="auto"/>
          <w:spacing w:val="0"/>
          <w:sz w:val="32"/>
          <w:szCs w:val="32"/>
          <w:lang w:eastAsia="zh-CN"/>
          <w:highlight w:val="auto"/>
        </w:rPr>
        <w:t>。</w:t>
      </w:r>
      <w:bookmarkEnd w:id="22"/>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val="en-US" w:eastAsia="zh-CN"/>
          <w:highlight w:val="auto"/>
        </w:rPr>
        <w:t>1.</w:t>
      </w:r>
      <w:r>
        <w:rPr>
          <w:rFonts w:ascii="宋体" w:eastAsia="宋体" w:cs="宋体" w:hint="eastAsia"/>
          <w:b w:val="0"/>
          <w:bCs w:val="0"/>
          <w:color w:val="auto"/>
          <w:spacing w:val="0"/>
          <w:sz w:val="32"/>
          <w:szCs w:val="32"/>
          <w:lang w:eastAsia="zh-CN"/>
          <w:highlight w:val="auto"/>
        </w:rPr>
        <w:t>被征收户选择货币补偿，</w:t>
      </w:r>
      <w:r>
        <w:rPr>
          <w:rFonts w:ascii="宋体" w:eastAsia="宋体" w:cs="宋体" w:hint="eastAsia"/>
          <w:b w:val="0"/>
          <w:bCs w:val="0"/>
          <w:color w:val="auto"/>
          <w:spacing w:val="0"/>
          <w:sz w:val="32"/>
          <w:szCs w:val="32"/>
          <w:highlight w:val="auto"/>
        </w:rPr>
        <w:t>给予被征收人一次性支付</w:t>
      </w:r>
      <w:r>
        <w:rPr>
          <w:rFonts w:ascii="宋体" w:eastAsia="宋体" w:cs="宋体" w:hint="eastAsia"/>
          <w:b w:val="0"/>
          <w:bCs w:val="0"/>
          <w:color w:val="auto"/>
          <w:spacing w:val="0"/>
          <w:sz w:val="32"/>
          <w:szCs w:val="32"/>
          <w:lang w:val="en-US" w:eastAsia="zh-CN"/>
          <w:highlight w:val="auto"/>
        </w:rPr>
        <w:t>6个月</w:t>
      </w:r>
      <w:r>
        <w:rPr>
          <w:rFonts w:ascii="宋体" w:eastAsia="宋体" w:cs="宋体" w:hint="eastAsia"/>
          <w:b w:val="0"/>
          <w:bCs w:val="0"/>
          <w:color w:val="auto"/>
          <w:spacing w:val="0"/>
          <w:sz w:val="32"/>
          <w:szCs w:val="32"/>
          <w:highlight w:val="auto"/>
        </w:rPr>
        <w:t>每人每月200元的</w:t>
      </w:r>
      <w:r>
        <w:rPr>
          <w:rFonts w:ascii="宋体" w:eastAsia="宋体" w:cs="宋体" w:hint="eastAsia"/>
          <w:b w:val="0"/>
          <w:bCs w:val="0"/>
          <w:color w:val="auto"/>
          <w:spacing w:val="0"/>
          <w:sz w:val="32"/>
          <w:szCs w:val="32"/>
          <w:lang w:val="en-US" w:eastAsia="zh-CN"/>
          <w:highlight w:val="auto"/>
        </w:rPr>
        <w:t>临时安置补偿费（</w:t>
      </w:r>
      <w:r>
        <w:rPr>
          <w:rFonts w:ascii="宋体" w:eastAsia="宋体" w:cs="宋体" w:hint="eastAsia"/>
          <w:b w:val="0"/>
          <w:bCs w:val="0"/>
          <w:color w:val="auto"/>
          <w:spacing w:val="0"/>
          <w:sz w:val="32"/>
          <w:szCs w:val="32"/>
          <w:highlight w:val="auto"/>
        </w:rPr>
        <w:t>以提供常住人口户口簿为准）。</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lang w:eastAsia="zh-CN"/>
          <w:highlight w:val="auto"/>
        </w:rPr>
      </w:pPr>
      <w:r>
        <w:rPr>
          <w:rFonts w:ascii="宋体" w:eastAsia="宋体" w:cs="宋体" w:hint="eastAsia"/>
          <w:b w:val="0"/>
          <w:bCs w:val="0"/>
          <w:color w:val="auto"/>
          <w:spacing w:val="0"/>
          <w:sz w:val="32"/>
          <w:szCs w:val="32"/>
          <w:lang w:val="en-US" w:eastAsia="zh-CN"/>
          <w:highlight w:val="auto"/>
        </w:rPr>
        <w:t>2.</w:t>
      </w:r>
      <w:r>
        <w:rPr>
          <w:rFonts w:ascii="宋体" w:eastAsia="宋体" w:cs="宋体" w:hint="eastAsia"/>
          <w:b w:val="0"/>
          <w:bCs w:val="0"/>
          <w:color w:val="auto"/>
          <w:spacing w:val="0"/>
          <w:sz w:val="32"/>
          <w:szCs w:val="32"/>
          <w:lang w:eastAsia="zh-CN"/>
          <w:highlight w:val="auto"/>
        </w:rPr>
        <w:t>被征收户选择回迁安置，</w:t>
      </w:r>
      <w:r>
        <w:rPr>
          <w:rFonts w:ascii="宋体" w:eastAsia="宋体" w:cs="宋体" w:hint="eastAsia"/>
          <w:b w:val="0"/>
          <w:bCs w:val="0"/>
          <w:color w:val="auto"/>
          <w:spacing w:val="0"/>
          <w:sz w:val="32"/>
          <w:szCs w:val="32"/>
          <w:lang w:val="en-US" w:eastAsia="zh-CN"/>
          <w:highlight w:val="auto"/>
        </w:rPr>
        <w:t>在过渡期限内，自行解决周转用房的，给予被征收人每人每月200元的临时安置补偿费（以提供常住人口户口簿为准），直至安置地交付之日后六个月止。过渡期限是指从被征收房屋腾空之日起至安置地交付之日止。</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lang w:val="en-US" w:eastAsia="zh-CN"/>
          <w:highlight w:val="auto"/>
        </w:rPr>
      </w:pPr>
      <w:r>
        <w:rPr>
          <w:rFonts w:ascii="宋体" w:eastAsia="宋体" w:cs="宋体" w:hint="eastAsia"/>
          <w:b w:val="0"/>
          <w:bCs w:val="0"/>
          <w:color w:val="auto"/>
          <w:spacing w:val="0"/>
          <w:sz w:val="32"/>
          <w:szCs w:val="32"/>
          <w:lang w:val="en-US" w:eastAsia="zh-CN"/>
          <w:highlight w:val="auto"/>
        </w:rPr>
        <w:t>安置地为期地，过渡期限一般为36个月。如过渡期限延长，对被征收人自行解决周转用房的，从逾期之日起付给被征收人的临时安置补偿费每人每月200元。</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eastAsia="zh-CN"/>
          <w:highlight w:val="auto"/>
        </w:rPr>
        <w:t>（六）</w:t>
      </w:r>
      <w:r>
        <w:rPr>
          <w:rFonts w:ascii="宋体" w:eastAsia="宋体" w:cs="宋体" w:hint="eastAsia"/>
          <w:b w:val="0"/>
          <w:bCs w:val="0"/>
          <w:color w:val="auto"/>
          <w:spacing w:val="0"/>
          <w:sz w:val="32"/>
          <w:szCs w:val="32"/>
          <w:highlight w:val="auto"/>
        </w:rPr>
        <w:t>停产停业补偿费。对因征收房屋造成被征收人停产停业损失的补偿，由征收当事人根据房屋被征收前的效益、停产停业期限等因素协商确定，协商不成的，可以委托房地产价格评估机构评估确定。对评估结果有异议的，可以按照《河源市人民政府关于印发河源市城市规划区房屋征收与补偿实施办法的通知》</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河府</w:t>
      </w:r>
      <w:r>
        <w:rPr>
          <w:rFonts w:ascii="宋体" w:eastAsia="宋体" w:cs="宋体" w:hint="eastAsia"/>
          <w:b w:val="0"/>
          <w:bCs w:val="0"/>
          <w:color w:val="auto"/>
          <w:spacing w:val="0"/>
          <w:sz w:val="32"/>
          <w:szCs w:val="32"/>
          <w:lang w:eastAsia="zh-CN"/>
          <w:highlight w:val="auto"/>
        </w:rPr>
        <w:t>〔2017〕44号</w:t>
      </w:r>
      <w:r>
        <w:rPr>
          <w:rFonts w:ascii="宋体" w:eastAsia="宋体" w:cs="宋体" w:hint="eastAsia"/>
          <w:b w:val="0"/>
          <w:bCs w:val="0"/>
          <w:color w:val="auto"/>
          <w:spacing w:val="0"/>
          <w:sz w:val="32"/>
          <w:szCs w:val="32"/>
          <w:highlight w:val="auto"/>
        </w:rPr>
        <w:t>）第二十二条相关规定申请复核、鉴定。</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val="en-US" w:eastAsia="zh-CN"/>
          <w:highlight w:val="auto"/>
        </w:rPr>
        <w:t>1.</w:t>
      </w:r>
      <w:r>
        <w:rPr>
          <w:rFonts w:ascii="宋体" w:eastAsia="宋体" w:cs="宋体" w:hint="eastAsia"/>
          <w:b w:val="0"/>
          <w:bCs w:val="0"/>
          <w:color w:val="auto"/>
          <w:spacing w:val="0"/>
          <w:sz w:val="32"/>
          <w:szCs w:val="32"/>
          <w:highlight w:val="auto"/>
        </w:rPr>
        <w:t>房屋被征收前的效益。</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lang w:val="en-US" w:eastAsia="zh-CN"/>
          <w:highlight w:val="auto"/>
        </w:rPr>
        <w:t>1</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被征收人能提供税务部门出具的税后利润凭证的，效益以房屋征收决定作出前1年内实际月平均税后利润为准。</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lang w:val="en-US" w:eastAsia="zh-CN"/>
          <w:highlight w:val="auto"/>
        </w:rPr>
        <w:t>2</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被征收人不能提供税务部门出具的税后利润凭证等证明（含完税凭证不能反映停产停业损失）或者无法核算税后利润的，效益按上年度本地区同行业平均税后利润额或者同类房屋市场租金计算。对于100㎡</w:t>
      </w:r>
      <w:r>
        <w:rPr>
          <w:rFonts w:ascii="宋体" w:eastAsia="宋体" w:cs="宋体" w:hint="eastAsia"/>
          <w:b w:val="0"/>
          <w:bCs w:val="0"/>
          <w:color w:val="auto"/>
          <w:spacing w:val="0"/>
          <w:sz w:val="32"/>
          <w:szCs w:val="32"/>
          <w:lang w:val="en-US" w:eastAsia="zh-CN"/>
          <w:highlight w:val="auto"/>
        </w:rPr>
        <w:t>内（含100㎡）的小型商</w:t>
      </w:r>
      <w:r>
        <w:rPr>
          <w:rFonts w:ascii="宋体" w:eastAsia="宋体" w:cs="宋体" w:hint="eastAsia"/>
          <w:b w:val="0"/>
          <w:bCs w:val="0"/>
          <w:color w:val="auto"/>
          <w:spacing w:val="0"/>
          <w:sz w:val="32"/>
          <w:szCs w:val="32"/>
          <w:highlight w:val="auto"/>
        </w:rPr>
        <w:t>铺，根据实际经营情况按建筑物内营业面积一次性以</w:t>
      </w:r>
      <w:r>
        <w:rPr>
          <w:rFonts w:ascii="宋体" w:eastAsia="宋体" w:cs="宋体" w:hint="eastAsia"/>
          <w:b w:val="0"/>
          <w:bCs w:val="0"/>
          <w:color w:val="auto"/>
          <w:spacing w:val="0"/>
          <w:sz w:val="32"/>
          <w:szCs w:val="32"/>
          <w:lang w:val="en-US" w:eastAsia="zh-CN"/>
          <w:highlight w:val="auto"/>
        </w:rPr>
        <w:t>1</w:t>
      </w:r>
      <w:r>
        <w:rPr>
          <w:rFonts w:ascii="宋体" w:eastAsia="宋体" w:cs="宋体" w:hint="eastAsia"/>
          <w:b w:val="0"/>
          <w:bCs w:val="0"/>
          <w:color w:val="auto"/>
          <w:spacing w:val="0"/>
          <w:sz w:val="32"/>
          <w:szCs w:val="32"/>
          <w:highlight w:val="auto"/>
        </w:rPr>
        <w:t>00元/㎡-</w:t>
      </w:r>
      <w:r>
        <w:rPr>
          <w:rFonts w:ascii="宋体" w:eastAsia="宋体" w:cs="宋体" w:hint="eastAsia"/>
          <w:b w:val="0"/>
          <w:bCs w:val="0"/>
          <w:color w:val="auto"/>
          <w:spacing w:val="0"/>
          <w:sz w:val="32"/>
          <w:szCs w:val="32"/>
          <w:lang w:val="en-US" w:eastAsia="zh-CN"/>
          <w:highlight w:val="auto"/>
        </w:rPr>
        <w:t>4</w:t>
      </w:r>
      <w:r>
        <w:rPr>
          <w:rFonts w:ascii="宋体" w:eastAsia="宋体" w:cs="宋体" w:hint="eastAsia"/>
          <w:b w:val="0"/>
          <w:bCs w:val="0"/>
          <w:color w:val="auto"/>
          <w:spacing w:val="0"/>
          <w:sz w:val="32"/>
          <w:szCs w:val="32"/>
          <w:highlight w:val="auto"/>
        </w:rPr>
        <w:t>00元/㎡给予补偿；对于农家乐、工厂等，根据实际经营情况按营业面积一次性以50元/㎡-200元/㎡给予补偿（农家乐及工厂按建筑物面积</w:t>
      </w:r>
      <w:r>
        <w:rPr>
          <w:rFonts w:ascii="宋体" w:eastAsia="宋体" w:cs="宋体" w:hint="eastAsia"/>
          <w:b w:val="0"/>
          <w:bCs w:val="0"/>
          <w:color w:val="auto"/>
          <w:spacing w:val="0"/>
          <w:sz w:val="32"/>
          <w:szCs w:val="32"/>
          <w:lang w:eastAsia="zh-CN"/>
          <w:highlight w:val="auto"/>
        </w:rPr>
        <w:t>计算</w:t>
      </w:r>
      <w:r>
        <w:rPr>
          <w:rFonts w:ascii="宋体" w:eastAsia="宋体" w:cs="宋体" w:hint="eastAsia"/>
          <w:b w:val="0"/>
          <w:bCs w:val="0"/>
          <w:color w:val="auto"/>
          <w:spacing w:val="0"/>
          <w:sz w:val="32"/>
          <w:szCs w:val="32"/>
          <w:highlight w:val="auto"/>
        </w:rPr>
        <w:t>）。</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val="en-US" w:eastAsia="zh-CN"/>
          <w:highlight w:val="auto"/>
        </w:rPr>
        <w:t>2.</w:t>
      </w:r>
      <w:r>
        <w:rPr>
          <w:rFonts w:ascii="宋体" w:eastAsia="宋体" w:cs="宋体" w:hint="eastAsia"/>
          <w:b w:val="0"/>
          <w:bCs w:val="0"/>
          <w:color w:val="auto"/>
          <w:spacing w:val="0"/>
          <w:sz w:val="32"/>
          <w:szCs w:val="32"/>
          <w:highlight w:val="auto"/>
        </w:rPr>
        <w:t>给予停产停业损失补偿应当符合以下条件之一：</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lang w:val="en-US" w:eastAsia="zh-CN"/>
          <w:highlight w:val="auto"/>
        </w:rPr>
        <w:t>1</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经自然资源、住建等部门认定为合法的建筑（认定为违法建筑和超过批准期限的临时建筑不予停产停业损失补偿）；</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lang w:val="en-US" w:eastAsia="zh-CN"/>
          <w:highlight w:val="auto"/>
        </w:rPr>
        <w:t>2</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具有合法有效的工商营业执照、税务登记证以及</w:t>
      </w:r>
      <w:r>
        <w:rPr>
          <w:rFonts w:ascii="宋体" w:eastAsia="宋体" w:cs="宋体" w:hint="eastAsia"/>
          <w:b w:val="0"/>
          <w:bCs w:val="0"/>
          <w:color w:val="auto"/>
          <w:spacing w:val="0"/>
          <w:sz w:val="32"/>
          <w:szCs w:val="32"/>
          <w:lang w:eastAsia="zh-CN"/>
          <w:highlight w:val="auto"/>
        </w:rPr>
        <w:t>其他</w:t>
      </w:r>
      <w:r>
        <w:rPr>
          <w:rFonts w:ascii="宋体" w:eastAsia="宋体" w:cs="宋体" w:hint="eastAsia"/>
          <w:b w:val="0"/>
          <w:bCs w:val="0"/>
          <w:color w:val="auto"/>
          <w:spacing w:val="0"/>
          <w:sz w:val="32"/>
          <w:szCs w:val="32"/>
          <w:highlight w:val="auto"/>
        </w:rPr>
        <w:t>有关许可证件；</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lang w:val="en-US" w:eastAsia="zh-CN"/>
          <w:highlight w:val="auto"/>
        </w:rPr>
        <w:t>3</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作出房屋征收决定前实际正在经营，因征收房屋造成了停产停业损失。</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eastAsia="zh-CN"/>
          <w:highlight w:val="auto"/>
        </w:rPr>
        <w:t>（七）</w:t>
      </w:r>
      <w:r>
        <w:rPr>
          <w:rFonts w:ascii="宋体" w:eastAsia="宋体" w:cs="宋体" w:hint="eastAsia"/>
          <w:b w:val="0"/>
          <w:bCs w:val="0"/>
          <w:color w:val="auto"/>
          <w:spacing w:val="0"/>
          <w:sz w:val="32"/>
          <w:szCs w:val="32"/>
          <w:highlight w:val="auto"/>
        </w:rPr>
        <w:t>现正常经营及养殖</w:t>
      </w:r>
      <w:r>
        <w:rPr>
          <w:rFonts w:ascii="宋体" w:eastAsia="宋体" w:cs="宋体" w:hint="eastAsia"/>
          <w:b w:val="0"/>
          <w:bCs w:val="0"/>
          <w:color w:val="auto"/>
          <w:spacing w:val="0"/>
          <w:sz w:val="32"/>
          <w:szCs w:val="32"/>
          <w:lang w:val="en-US" w:eastAsia="zh-CN"/>
          <w:highlight w:val="auto"/>
        </w:rPr>
        <w:t>的</w:t>
      </w:r>
      <w:r>
        <w:rPr>
          <w:rFonts w:ascii="宋体" w:eastAsia="宋体" w:cs="宋体" w:hint="eastAsia"/>
          <w:b w:val="0"/>
          <w:bCs w:val="0"/>
          <w:color w:val="auto"/>
          <w:spacing w:val="0"/>
          <w:sz w:val="32"/>
          <w:szCs w:val="32"/>
          <w:highlight w:val="auto"/>
        </w:rPr>
        <w:t>建（构）筑物按市场建筑成本实行货币补偿，造成停业停产损失的，根据实际情况按建筑面积50元/㎡-200元/㎡一次性</w:t>
      </w:r>
      <w:r>
        <w:rPr>
          <w:rFonts w:ascii="宋体" w:eastAsia="宋体" w:cs="宋体" w:hint="eastAsia"/>
          <w:b w:val="0"/>
          <w:bCs w:val="0"/>
          <w:color w:val="auto"/>
          <w:spacing w:val="0"/>
          <w:sz w:val="32"/>
          <w:szCs w:val="32"/>
          <w:lang w:eastAsia="zh-CN"/>
          <w:highlight w:val="auto"/>
        </w:rPr>
        <w:t>补偿</w:t>
      </w:r>
      <w:r>
        <w:rPr>
          <w:rFonts w:ascii="宋体" w:eastAsia="宋体" w:cs="宋体" w:hint="eastAsia"/>
          <w:b w:val="0"/>
          <w:bCs w:val="0"/>
          <w:color w:val="auto"/>
          <w:spacing w:val="0"/>
          <w:sz w:val="32"/>
          <w:szCs w:val="32"/>
          <w:highlight w:val="auto"/>
        </w:rPr>
        <w:t>。</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eastAsia="zh-CN"/>
          <w:highlight w:val="auto"/>
        </w:rPr>
        <w:t>（八）</w:t>
      </w:r>
      <w:r>
        <w:rPr>
          <w:rFonts w:ascii="宋体" w:eastAsia="宋体" w:cs="宋体" w:hint="eastAsia"/>
          <w:b w:val="0"/>
          <w:bCs w:val="0"/>
          <w:color w:val="auto"/>
          <w:spacing w:val="0"/>
          <w:sz w:val="32"/>
          <w:szCs w:val="32"/>
          <w:highlight w:val="auto"/>
        </w:rPr>
        <w:t>无合法产权证明且经自然资源</w:t>
      </w:r>
      <w:r>
        <w:rPr>
          <w:rFonts w:ascii="宋体" w:eastAsia="宋体" w:cs="宋体" w:hint="eastAsia"/>
          <w:b w:val="0"/>
          <w:bCs w:val="0"/>
          <w:color w:val="auto"/>
          <w:spacing w:val="0"/>
          <w:sz w:val="32"/>
          <w:szCs w:val="32"/>
          <w:lang w:eastAsia="zh-CN"/>
          <w:highlight w:val="auto"/>
        </w:rPr>
        <w:t>局</w:t>
      </w:r>
      <w:r>
        <w:rPr>
          <w:rFonts w:ascii="宋体" w:eastAsia="宋体" w:cs="宋体" w:hint="eastAsia"/>
          <w:b w:val="0"/>
          <w:bCs w:val="0"/>
          <w:color w:val="auto"/>
          <w:spacing w:val="0"/>
          <w:sz w:val="32"/>
          <w:szCs w:val="32"/>
          <w:highlight w:val="auto"/>
        </w:rPr>
        <w:t>、住建</w:t>
      </w:r>
      <w:r>
        <w:rPr>
          <w:rFonts w:ascii="宋体" w:eastAsia="宋体" w:cs="宋体" w:hint="eastAsia"/>
          <w:b w:val="0"/>
          <w:bCs w:val="0"/>
          <w:color w:val="auto"/>
          <w:spacing w:val="0"/>
          <w:sz w:val="32"/>
          <w:szCs w:val="32"/>
          <w:lang w:eastAsia="zh-CN"/>
          <w:highlight w:val="auto"/>
        </w:rPr>
        <w:t>局</w:t>
      </w:r>
      <w:r>
        <w:rPr>
          <w:rFonts w:ascii="宋体" w:eastAsia="宋体" w:cs="宋体" w:hint="eastAsia"/>
          <w:b w:val="0"/>
          <w:bCs w:val="0"/>
          <w:color w:val="auto"/>
          <w:spacing w:val="0"/>
          <w:sz w:val="32"/>
          <w:szCs w:val="32"/>
          <w:highlight w:val="auto"/>
        </w:rPr>
        <w:t>认定为“一户一宅”之外的房屋，在征收补偿方案确定的签约期限内无法达成补偿协议的，由自然资源</w:t>
      </w:r>
      <w:r>
        <w:rPr>
          <w:rFonts w:ascii="宋体" w:eastAsia="宋体" w:cs="宋体" w:hint="eastAsia"/>
          <w:b w:val="0"/>
          <w:bCs w:val="0"/>
          <w:color w:val="auto"/>
          <w:spacing w:val="0"/>
          <w:sz w:val="32"/>
          <w:szCs w:val="32"/>
          <w:lang w:eastAsia="zh-CN"/>
          <w:highlight w:val="auto"/>
        </w:rPr>
        <w:t>局</w:t>
      </w:r>
      <w:r>
        <w:rPr>
          <w:rFonts w:ascii="宋体" w:eastAsia="宋体" w:cs="宋体" w:hint="eastAsia"/>
          <w:b w:val="0"/>
          <w:bCs w:val="0"/>
          <w:color w:val="auto"/>
          <w:spacing w:val="0"/>
          <w:sz w:val="32"/>
          <w:szCs w:val="32"/>
          <w:highlight w:val="auto"/>
        </w:rPr>
        <w:t>、住建</w:t>
      </w:r>
      <w:r>
        <w:rPr>
          <w:rFonts w:ascii="宋体" w:eastAsia="宋体" w:cs="宋体" w:hint="eastAsia"/>
          <w:b w:val="0"/>
          <w:bCs w:val="0"/>
          <w:color w:val="auto"/>
          <w:spacing w:val="0"/>
          <w:sz w:val="32"/>
          <w:szCs w:val="32"/>
          <w:lang w:eastAsia="zh-CN"/>
          <w:highlight w:val="auto"/>
        </w:rPr>
        <w:t>局</w:t>
      </w:r>
      <w:r>
        <w:rPr>
          <w:rFonts w:ascii="宋体" w:eastAsia="宋体" w:cs="宋体" w:hint="eastAsia"/>
          <w:b w:val="0"/>
          <w:bCs w:val="0"/>
          <w:color w:val="auto"/>
          <w:spacing w:val="0"/>
          <w:sz w:val="32"/>
          <w:szCs w:val="32"/>
          <w:highlight w:val="auto"/>
        </w:rPr>
        <w:t>等职能部门以及</w:t>
      </w:r>
      <w:r>
        <w:rPr>
          <w:rFonts w:ascii="宋体" w:eastAsia="宋体" w:cs="宋体" w:hint="eastAsia"/>
          <w:b w:val="0"/>
          <w:bCs w:val="0"/>
          <w:color w:val="auto"/>
          <w:spacing w:val="0"/>
          <w:sz w:val="32"/>
          <w:szCs w:val="32"/>
          <w:lang w:eastAsia="zh-CN"/>
          <w:highlight w:val="auto"/>
        </w:rPr>
        <w:t>黄田</w:t>
      </w:r>
      <w:r>
        <w:rPr>
          <w:rFonts w:ascii="宋体" w:eastAsia="宋体" w:cs="宋体" w:hint="eastAsia"/>
          <w:b w:val="0"/>
          <w:bCs w:val="0"/>
          <w:color w:val="auto"/>
          <w:spacing w:val="0"/>
          <w:sz w:val="32"/>
          <w:szCs w:val="32"/>
          <w:highlight w:val="auto"/>
        </w:rPr>
        <w:t>镇政府</w:t>
      </w:r>
      <w:r>
        <w:rPr>
          <w:rFonts w:ascii="宋体" w:eastAsia="宋体" w:cs="宋体" w:hint="eastAsia"/>
          <w:b w:val="0"/>
          <w:bCs w:val="0"/>
          <w:color w:val="auto"/>
          <w:spacing w:val="0"/>
          <w:sz w:val="32"/>
          <w:szCs w:val="32"/>
          <w:lang w:eastAsia="zh-CN"/>
          <w:highlight w:val="auto"/>
        </w:rPr>
        <w:t>、曾田</w:t>
      </w:r>
      <w:r>
        <w:rPr>
          <w:rFonts w:ascii="宋体" w:eastAsia="宋体" w:cs="宋体" w:hint="eastAsia"/>
          <w:b w:val="0"/>
          <w:bCs w:val="0"/>
          <w:color w:val="auto"/>
          <w:spacing w:val="0"/>
          <w:sz w:val="32"/>
          <w:szCs w:val="32"/>
          <w:highlight w:val="auto"/>
        </w:rPr>
        <w:t>镇政府按照《中华人民共和国土地管理法》《中华人民共和国城乡规划法》等相关规定依法处理。</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eastAsia="zh-CN"/>
          <w:highlight w:val="auto"/>
        </w:rPr>
        <w:t>（九）</w:t>
      </w:r>
      <w:r>
        <w:rPr>
          <w:rFonts w:ascii="宋体" w:eastAsia="宋体" w:cs="宋体" w:hint="eastAsia"/>
          <w:b w:val="0"/>
          <w:bCs w:val="0"/>
          <w:color w:val="auto"/>
          <w:spacing w:val="0"/>
          <w:sz w:val="32"/>
          <w:szCs w:val="32"/>
          <w:highlight w:val="auto"/>
        </w:rPr>
        <w:t>生产设施用房以及“一户一宅”之外的房屋（祖屋除外），如无法提供合法建房手续，必须在接到政府发出处理通</w:t>
      </w:r>
      <w:r>
        <w:rPr>
          <w:rFonts w:ascii="宋体" w:eastAsia="宋体" w:cs="宋体" w:hint="eastAsia"/>
          <w:b w:val="0"/>
          <w:bCs w:val="0"/>
          <w:color w:val="auto"/>
          <w:spacing w:val="0"/>
          <w:sz w:val="32"/>
          <w:szCs w:val="32"/>
          <w:lang w:eastAsia="zh-CN"/>
          <w:highlight w:val="auto"/>
        </w:rPr>
        <w:t>知的</w:t>
      </w:r>
      <w:r>
        <w:rPr>
          <w:rFonts w:ascii="宋体" w:eastAsia="宋体" w:cs="宋体" w:hint="eastAsia"/>
          <w:b w:val="0"/>
          <w:bCs w:val="0"/>
          <w:color w:val="auto"/>
          <w:spacing w:val="0"/>
          <w:sz w:val="32"/>
          <w:szCs w:val="32"/>
          <w:highlight w:val="auto"/>
        </w:rPr>
        <w:t>一个星期内与征收实施单位协商处理完毕，逾期不得享受一切奖励政策。</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outlineLvl w:val="1"/>
        <w:rPr>
          <w:rFonts w:ascii="宋体" w:eastAsia="宋体" w:cs="宋体" w:hint="eastAsia"/>
          <w:b w:val="0"/>
          <w:bCs w:val="0"/>
          <w:color w:val="auto"/>
          <w:spacing w:val="0"/>
          <w:sz w:val="32"/>
          <w:szCs w:val="32"/>
          <w:highlight w:val="auto"/>
        </w:rPr>
      </w:pPr>
      <w:bookmarkStart w:id="23" w:name="_Toc25482"/>
      <w:r>
        <w:rPr>
          <w:rFonts w:ascii="宋体" w:eastAsia="宋体" w:cs="宋体" w:hint="eastAsia"/>
          <w:b w:val="0"/>
          <w:bCs w:val="0"/>
          <w:color w:val="auto"/>
          <w:spacing w:val="0"/>
          <w:sz w:val="32"/>
          <w:szCs w:val="32"/>
          <w:lang w:eastAsia="zh-CN"/>
          <w:highlight w:val="auto"/>
        </w:rPr>
        <w:t>（十）</w:t>
      </w:r>
      <w:r>
        <w:rPr>
          <w:rFonts w:ascii="宋体" w:eastAsia="宋体" w:cs="宋体" w:hint="eastAsia"/>
          <w:b w:val="0"/>
          <w:bCs w:val="0"/>
          <w:color w:val="auto"/>
          <w:spacing w:val="0"/>
          <w:sz w:val="32"/>
          <w:szCs w:val="32"/>
          <w:highlight w:val="auto"/>
        </w:rPr>
        <w:t>房屋基础按建筑成本只作货币补偿。</w:t>
      </w:r>
      <w:bookmarkEnd w:id="23"/>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eastAsia="zh-CN"/>
          <w:highlight w:val="auto"/>
        </w:rPr>
        <w:t>（十一）</w:t>
      </w:r>
      <w:r>
        <w:rPr>
          <w:rFonts w:ascii="宋体" w:eastAsia="宋体" w:cs="宋体" w:hint="eastAsia"/>
          <w:b w:val="0"/>
          <w:bCs w:val="0"/>
          <w:color w:val="auto"/>
          <w:spacing w:val="0"/>
          <w:sz w:val="32"/>
          <w:szCs w:val="32"/>
          <w:highlight w:val="auto"/>
        </w:rPr>
        <w:t>被征收房屋的建筑面积和用途，以房屋所有权证书和房屋登记簿的记载为准。未记载用途的，由房产登记机构依据规划部门提供的合法有效文件进行确认。被征收人有证据证明房屋所有权证书和房屋登记簿记载的建筑面积有误的，应当在房屋征收决定公告发布之日起15日内向房屋征收部门提出申请，由房屋征收部门委托具有相应资质的房产测绘机构对房屋的实际合法建筑面积进行测量，并出具测量结果报告，房屋建筑面积以测量结果报告为准。</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lang w:eastAsia="zh-CN"/>
          <w:highlight w:val="auto"/>
        </w:rPr>
        <w:t>（十二）</w:t>
      </w:r>
      <w:r>
        <w:rPr>
          <w:rFonts w:ascii="宋体" w:eastAsia="宋体" w:cs="宋体" w:hint="eastAsia"/>
          <w:b w:val="0"/>
          <w:bCs w:val="0"/>
          <w:color w:val="auto"/>
          <w:spacing w:val="0"/>
          <w:sz w:val="32"/>
          <w:szCs w:val="32"/>
          <w:highlight w:val="auto"/>
        </w:rPr>
        <w:t>征收设有抵押权、被查封及扣押的房屋，按照国家有关的法律、法规执行。</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highlight w:val="auto"/>
        </w:rPr>
        <w:t>（十三）专业项目（道路桥梁设施、水电站、水利工程设施、电力设施、通信设施等）及较大的厂场（站）采取个案处理方式进行独立评估。</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highlight w:val="auto"/>
        </w:rPr>
        <w:t>（十四）本项目土地价值按现时市场价值均价补偿。</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highlight w:val="auto"/>
        </w:rPr>
        <w:t>（十五）本方案未列明的事项，按项目房屋征收工作小组和市场评估进行会议讨论决定。</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bCs/>
          <w:color w:val="auto"/>
          <w:spacing w:val="0"/>
          <w:sz w:val="32"/>
          <w:szCs w:val="32"/>
          <w:highlight w:val="auto"/>
        </w:rPr>
      </w:pPr>
      <w:r>
        <w:rPr>
          <w:rFonts w:ascii="宋体" w:eastAsia="宋体" w:cs="宋体" w:hint="eastAsia"/>
          <w:b/>
          <w:bCs/>
          <w:color w:val="auto"/>
          <w:spacing w:val="0"/>
          <w:sz w:val="32"/>
          <w:szCs w:val="32"/>
          <w:highlight w:val="auto"/>
        </w:rPr>
        <w:t>六、其它</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highlight w:val="auto"/>
        </w:rPr>
        <w:t>县道X830线公路改造工程项目参照本方案。</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firstLineChars="200" w:firstLine="640"/>
        <w:textAlignment w:val="auto"/>
        <w:rPr>
          <w:rFonts w:ascii="宋体" w:eastAsia="宋体" w:cs="宋体" w:hint="eastAsia"/>
          <w:b/>
          <w:bCs/>
          <w:color w:val="auto"/>
          <w:spacing w:val="0"/>
          <w:sz w:val="32"/>
          <w:szCs w:val="32"/>
          <w:highlight w:val="auto"/>
        </w:rPr>
      </w:pPr>
      <w:r>
        <w:rPr>
          <w:rFonts w:ascii="宋体" w:eastAsia="宋体" w:cs="宋体" w:hint="eastAsia"/>
          <w:b/>
          <w:bCs/>
          <w:color w:val="auto"/>
          <w:spacing w:val="0"/>
          <w:sz w:val="32"/>
          <w:szCs w:val="32"/>
          <w:highlight w:val="auto"/>
        </w:rPr>
        <w:t>七、补助和奖励</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highlight w:val="auto"/>
        </w:rPr>
        <w:t>（一）被征收户在</w:t>
      </w:r>
      <w:r>
        <w:rPr>
          <w:rFonts w:ascii="宋体" w:eastAsia="宋体" w:cs="宋体" w:hint="eastAsia"/>
          <w:b w:val="0"/>
          <w:bCs w:val="0"/>
          <w:color w:val="auto"/>
          <w:spacing w:val="0"/>
          <w:sz w:val="32"/>
          <w:szCs w:val="32"/>
          <w:lang w:val="en-US" w:eastAsia="zh-CN"/>
          <w:highlight w:val="auto"/>
        </w:rPr>
        <w:t>房屋</w:t>
      </w:r>
      <w:r>
        <w:rPr>
          <w:rFonts w:ascii="宋体" w:eastAsia="宋体" w:cs="宋体" w:hint="eastAsia"/>
          <w:b w:val="0"/>
          <w:bCs w:val="0"/>
          <w:color w:val="auto"/>
          <w:spacing w:val="0"/>
          <w:sz w:val="32"/>
          <w:szCs w:val="32"/>
          <w:highlight w:val="auto"/>
        </w:rPr>
        <w:t>征收工作组正式通知</w:t>
      </w:r>
      <w:r>
        <w:rPr>
          <w:rFonts w:ascii="宋体" w:eastAsia="宋体" w:cs="宋体" w:hint="eastAsia"/>
          <w:b w:val="0"/>
          <w:bCs w:val="0"/>
          <w:color w:val="auto"/>
          <w:spacing w:val="0"/>
          <w:sz w:val="32"/>
          <w:szCs w:val="32"/>
          <w:lang w:val="en-US" w:eastAsia="zh-CN"/>
          <w:highlight w:val="auto"/>
        </w:rPr>
        <w:t>期限内</w:t>
      </w:r>
      <w:r>
        <w:rPr>
          <w:rFonts w:ascii="宋体" w:eastAsia="宋体" w:cs="宋体" w:hint="eastAsia"/>
          <w:b w:val="0"/>
          <w:bCs w:val="0"/>
          <w:color w:val="auto"/>
          <w:spacing w:val="0"/>
          <w:sz w:val="32"/>
          <w:szCs w:val="32"/>
          <w:highlight w:val="auto"/>
        </w:rPr>
        <w:t>（附现场通知照片）</w:t>
      </w:r>
      <w:r>
        <w:rPr>
          <w:rFonts w:ascii="宋体" w:eastAsia="宋体" w:cs="宋体" w:hint="eastAsia"/>
          <w:b w:val="0"/>
          <w:bCs w:val="0"/>
          <w:color w:val="auto"/>
          <w:spacing w:val="0"/>
          <w:sz w:val="32"/>
          <w:szCs w:val="32"/>
          <w:lang w:val="en-US" w:eastAsia="zh-CN"/>
          <w:highlight w:val="auto"/>
        </w:rPr>
        <w:t>签订协议的</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给予每户一次性按</w:t>
      </w:r>
      <w:r>
        <w:rPr>
          <w:rFonts w:ascii="宋体" w:eastAsia="宋体" w:cs="宋体" w:hint="eastAsia"/>
          <w:b w:val="0"/>
          <w:bCs w:val="0"/>
          <w:color w:val="auto"/>
          <w:spacing w:val="0"/>
          <w:sz w:val="32"/>
          <w:szCs w:val="32"/>
          <w:lang w:val="en-US" w:eastAsia="zh-CN"/>
          <w:highlight w:val="auto"/>
        </w:rPr>
        <w:t>房屋建筑第一至四层面积给予100</w:t>
      </w:r>
      <w:r>
        <w:rPr>
          <w:rFonts w:ascii="宋体" w:eastAsia="宋体" w:cs="宋体" w:hint="eastAsia"/>
          <w:b w:val="0"/>
          <w:bCs w:val="0"/>
          <w:color w:val="auto"/>
          <w:spacing w:val="0"/>
          <w:sz w:val="32"/>
          <w:szCs w:val="32"/>
          <w:highlight w:val="auto"/>
        </w:rPr>
        <w:t>元/㎡-</w:t>
      </w:r>
      <w:r>
        <w:rPr>
          <w:rFonts w:ascii="宋体" w:eastAsia="宋体" w:cs="宋体" w:hint="eastAsia"/>
          <w:b w:val="0"/>
          <w:bCs w:val="0"/>
          <w:color w:val="auto"/>
          <w:spacing w:val="0"/>
          <w:sz w:val="32"/>
          <w:szCs w:val="32"/>
          <w:lang w:val="en-US" w:eastAsia="zh-CN"/>
          <w:highlight w:val="auto"/>
        </w:rPr>
        <w:t>3</w:t>
      </w:r>
      <w:r>
        <w:rPr>
          <w:rFonts w:ascii="宋体" w:eastAsia="宋体" w:cs="宋体" w:hint="eastAsia"/>
          <w:b w:val="0"/>
          <w:bCs w:val="0"/>
          <w:color w:val="auto"/>
          <w:spacing w:val="0"/>
          <w:sz w:val="32"/>
          <w:szCs w:val="32"/>
          <w:highlight w:val="auto"/>
        </w:rPr>
        <w:t>00元/㎡奖励（附属设施除外）。</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highlight w:val="auto"/>
        </w:rPr>
        <w:t>（二）年满80</w:t>
      </w:r>
      <w:r>
        <w:rPr>
          <w:rFonts w:ascii="宋体" w:eastAsia="宋体" w:cs="宋体" w:hint="eastAsia"/>
          <w:b w:val="0"/>
          <w:bCs w:val="0"/>
          <w:color w:val="auto"/>
          <w:spacing w:val="0"/>
          <w:sz w:val="32"/>
          <w:szCs w:val="32"/>
          <w:lang w:eastAsia="zh-CN"/>
          <w:highlight w:val="auto"/>
        </w:rPr>
        <w:t>周</w:t>
      </w:r>
      <w:r>
        <w:rPr>
          <w:rFonts w:ascii="宋体" w:eastAsia="宋体" w:cs="宋体" w:hint="eastAsia"/>
          <w:b w:val="0"/>
          <w:bCs w:val="0"/>
          <w:color w:val="auto"/>
          <w:spacing w:val="0"/>
          <w:sz w:val="32"/>
          <w:szCs w:val="32"/>
          <w:highlight w:val="auto"/>
        </w:rPr>
        <w:t>岁以上（以身份证为准）的老人，一次性每人给予2万元补助</w:t>
      </w:r>
      <w:r>
        <w:rPr>
          <w:rFonts w:ascii="宋体" w:eastAsia="宋体" w:cs="宋体" w:hint="eastAsia"/>
          <w:b w:val="0"/>
          <w:bCs w:val="0"/>
          <w:color w:val="auto"/>
          <w:spacing w:val="0"/>
          <w:sz w:val="32"/>
          <w:szCs w:val="32"/>
          <w:lang w:eastAsia="zh-CN"/>
          <w:highlight w:val="auto"/>
        </w:rPr>
        <w:t>；</w:t>
      </w:r>
      <w:r>
        <w:rPr>
          <w:rFonts w:ascii="宋体" w:eastAsia="宋体" w:cs="宋体" w:hint="eastAsia"/>
          <w:b w:val="0"/>
          <w:bCs w:val="0"/>
          <w:color w:val="auto"/>
          <w:spacing w:val="0"/>
          <w:sz w:val="32"/>
          <w:szCs w:val="32"/>
          <w:highlight w:val="auto"/>
        </w:rPr>
        <w:t>残疾人（以持有残疾人证为准），一次性每人给予2万元补助。</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Chars="200" w:firstLine="640"/>
        <w:textAlignment w:val="auto"/>
        <w:rPr>
          <w:rFonts w:ascii="宋体" w:eastAsia="宋体" w:cs="宋体" w:hint="eastAsia"/>
          <w:b w:val="0"/>
          <w:bCs w:val="0"/>
          <w:color w:val="auto"/>
          <w:spacing w:val="0"/>
          <w:sz w:val="32"/>
          <w:szCs w:val="32"/>
          <w:highlight w:val="auto"/>
        </w:rPr>
      </w:pPr>
      <w:r>
        <w:rPr>
          <w:rFonts w:ascii="宋体" w:eastAsia="宋体" w:cs="宋体" w:hint="eastAsia"/>
          <w:b w:val="0"/>
          <w:bCs w:val="0"/>
          <w:color w:val="auto"/>
          <w:spacing w:val="0"/>
          <w:sz w:val="32"/>
          <w:szCs w:val="32"/>
          <w:highlight w:val="auto"/>
        </w:rPr>
        <w:t>（三）被征收人持有合法土地使用证，并含有建筑基础，按货币补偿，给予补偿办证工本费3000元/本。</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Chars="200" w:firstLine="640"/>
        <w:textAlignment w:val="auto"/>
        <w:outlineLvl w:val="1"/>
        <w:rPr>
          <w:rFonts w:ascii="宋体" w:eastAsia="宋体" w:cs="宋体" w:hint="eastAsia"/>
          <w:b w:val="0"/>
          <w:bCs w:val="0"/>
          <w:color w:val="auto"/>
          <w:spacing w:val="0"/>
          <w:sz w:val="32"/>
          <w:szCs w:val="32"/>
          <w:highlight w:val="auto"/>
        </w:rPr>
      </w:pPr>
      <w:bookmarkStart w:id="24" w:name="_Toc24996"/>
      <w:r>
        <w:rPr>
          <w:rFonts w:ascii="宋体" w:eastAsia="宋体" w:cs="宋体" w:hint="eastAsia"/>
          <w:b w:val="0"/>
          <w:bCs w:val="0"/>
          <w:color w:val="auto"/>
          <w:spacing w:val="0"/>
          <w:sz w:val="32"/>
          <w:szCs w:val="32"/>
          <w:highlight w:val="auto"/>
        </w:rPr>
        <w:t>（四）以上事项，未在规定期限内签订协议，不给予补助和奖励。</w:t>
      </w:r>
      <w:bookmarkEnd w:id="24"/>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Chars="200" w:firstLine="640"/>
        <w:textAlignment w:val="auto"/>
        <w:rPr>
          <w:rFonts w:ascii="宋体" w:eastAsia="宋体" w:cs="宋体" w:hint="eastAsia"/>
          <w:b w:val="0"/>
          <w:bCs w:val="0"/>
          <w:color w:val="auto"/>
          <w:spacing w:val="0"/>
          <w:sz w:val="32"/>
          <w:szCs w:val="32"/>
          <w:highlight w:val="auto"/>
        </w:rPr>
      </w:pP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firstLineChars="200" w:firstLine="640"/>
        <w:textAlignment w:val="auto"/>
        <w:rPr>
          <w:rFonts w:ascii="宋体" w:eastAsia="宋体" w:cs="宋体" w:hint="eastAsia"/>
          <w:b w:val="0"/>
          <w:bCs w:val="0"/>
          <w:color w:val="auto"/>
          <w:spacing w:val="0"/>
          <w:sz w:val="32"/>
          <w:szCs w:val="32"/>
          <w:lang w:eastAsia="zh-CN"/>
          <w:highlight w:val="auto"/>
        </w:rPr>
      </w:pPr>
    </w:p>
    <w:p>
      <w:pPr>
        <w:shd w:val="clear" w:color="auto" w:fill="auto"/>
        <w:spacing w:line="500" w:lineRule="exact"/>
        <w:rPr>
          <w:rFonts w:ascii="宋体" w:eastAsia="宋体" w:cs="宋体" w:hint="eastAsia"/>
          <w:b w:val="0"/>
          <w:bCs w:val="0"/>
          <w:color w:val="auto"/>
          <w:spacing w:val="0"/>
          <w:sz w:val="32"/>
          <w:szCs w:val="32"/>
          <w:highlight w:val="auto"/>
        </w:rPr>
      </w:pPr>
    </w:p>
    <w:p>
      <w:pPr>
        <w:shd w:val="clear" w:color="auto" w:fill="auto"/>
        <w:rPr>
          <w:rFonts w:ascii="宋体" w:eastAsia="宋体" w:cs="宋体" w:hint="eastAsia"/>
          <w:b/>
          <w:bCs/>
          <w:color w:val="auto"/>
          <w:sz w:val="44"/>
          <w:szCs w:val="44"/>
          <w:shd w:val="clear" w:color="auto" w:fill="FFFFFF"/>
          <w:lang w:eastAsia="zh-CN"/>
          <w:highlight w:val="auto"/>
        </w:rPr>
      </w:pPr>
      <w:r>
        <w:rPr>
          <w:rFonts w:ascii="宋体" w:eastAsia="宋体" w:cs="宋体" w:hint="eastAsia"/>
          <w:color w:val="auto"/>
          <w:spacing w:val="17"/>
          <w:sz w:val="32"/>
          <w:szCs w:val="32"/>
          <w:highlight w:val="auto"/>
        </w:rPr>
        <w:br w:type="page"/>
      </w:r>
      <w:bookmarkStart w:id="25" w:name="_Toc32586"/>
    </w:p>
    <w:p>
      <w:pPr>
        <w:spacing w:line="240" w:lineRule="auto"/>
        <w:rPr>
          <w:rFonts w:ascii="仿宋_GB2312" w:eastAsia="仿宋_GB2312" w:cs="仿宋_GB2312" w:hint="eastAsia"/>
          <w:color w:val="auto"/>
          <w:spacing w:val="17"/>
          <w:sz w:val="32"/>
          <w:szCs w:val="32"/>
          <w:lang w:val="en-US" w:eastAsia="zh-CN"/>
          <w:highlight w:val="auto"/>
        </w:rPr>
      </w:pPr>
    </w:p>
    <w:p>
      <w:pPr>
        <w:shd w:val="clear" w:color="auto" w:fill="auto"/>
        <w:spacing w:line="600" w:lineRule="exact"/>
        <w:jc w:val="center"/>
        <w:outlineLvl w:val="0"/>
        <w:rPr>
          <w:rFonts w:ascii="方正小标宋_GBK" w:eastAsia="方正小标宋_GBK" w:cs="方正小标宋_GBK" w:hint="eastAsia"/>
          <w:b w:val="0"/>
          <w:bCs w:val="0"/>
          <w:color w:val="auto"/>
          <w:sz w:val="44"/>
          <w:szCs w:val="44"/>
          <w:shd w:val="clear" w:color="auto" w:fill="FFFFFF"/>
          <w:lang w:eastAsia="zh-CN"/>
          <w:highlight w:val="auto"/>
        </w:rPr>
      </w:pPr>
      <w:r>
        <w:rPr>
          <w:rFonts w:ascii="方正小标宋_GBK" w:eastAsia="方正小标宋_GBK" w:cs="方正小标宋_GBK" w:hint="eastAsia"/>
          <w:b w:val="0"/>
          <w:bCs w:val="0"/>
          <w:color w:val="auto"/>
          <w:sz w:val="44"/>
          <w:szCs w:val="44"/>
          <w:shd w:val="clear" w:color="auto" w:fill="FFFFFF"/>
          <w:lang w:eastAsia="zh-CN"/>
          <w:highlight w:val="auto"/>
        </w:rPr>
        <w:t>广东岑田抽水蓄能电站项目</w:t>
      </w:r>
      <w:bookmarkStart w:id="26" w:name="_Toc26545"/>
      <w:bookmarkEnd w:id="25"/>
      <w:r>
        <w:rPr>
          <w:rFonts w:ascii="方正小标宋_GBK" w:eastAsia="方正小标宋_GBK" w:cs="方正小标宋_GBK" w:hint="eastAsia"/>
          <w:b w:val="0"/>
          <w:bCs w:val="0"/>
          <w:color w:val="auto"/>
          <w:sz w:val="44"/>
          <w:szCs w:val="44"/>
          <w:shd w:val="clear" w:color="auto" w:fill="FFFFFF"/>
          <w:lang w:eastAsia="zh-CN"/>
          <w:highlight w:val="auto"/>
        </w:rPr>
        <w:t>建（构）筑物及</w:t>
      </w:r>
    </w:p>
    <w:p>
      <w:pPr>
        <w:shd w:val="clear" w:color="auto" w:fill="auto"/>
        <w:spacing w:line="600" w:lineRule="exact"/>
        <w:jc w:val="center"/>
        <w:outlineLvl w:val="0"/>
        <w:rPr>
          <w:rFonts w:ascii="方正小标宋_GBK" w:eastAsia="方正小标宋_GBK" w:cs="方正小标宋_GBK" w:hint="eastAsia"/>
          <w:b w:val="0"/>
          <w:bCs w:val="0"/>
          <w:color w:val="auto"/>
          <w:sz w:val="44"/>
          <w:szCs w:val="44"/>
          <w:shd w:val="clear" w:color="auto" w:fill="FFFFFF"/>
          <w:highlight w:val="auto"/>
        </w:rPr>
      </w:pPr>
      <w:r>
        <w:rPr>
          <w:rFonts w:ascii="方正小标宋_GBK" w:eastAsia="方正小标宋_GBK" w:cs="方正小标宋_GBK" w:hint="eastAsia"/>
          <w:b w:val="0"/>
          <w:bCs w:val="0"/>
          <w:color w:val="auto"/>
          <w:sz w:val="44"/>
          <w:szCs w:val="44"/>
          <w:shd w:val="clear" w:color="auto" w:fill="FFFFFF"/>
          <w:lang w:eastAsia="zh-CN"/>
          <w:highlight w:val="auto"/>
        </w:rPr>
        <w:t>地上附着物</w:t>
      </w:r>
      <w:bookmarkEnd w:id="26"/>
      <w:r>
        <w:rPr>
          <w:rFonts w:ascii="方正小标宋_GBK" w:eastAsia="方正小标宋_GBK" w:cs="方正小标宋_GBK" w:hint="eastAsia"/>
          <w:b w:val="0"/>
          <w:bCs w:val="0"/>
          <w:color w:val="auto"/>
          <w:sz w:val="44"/>
          <w:szCs w:val="44"/>
          <w:shd w:val="clear" w:color="auto" w:fill="FFFFFF"/>
          <w:highlight w:val="auto"/>
        </w:rPr>
        <w:t>征收与补偿参考标准</w:t>
      </w:r>
    </w:p>
    <w:p>
      <w:pPr>
        <w:shd w:val="clear" w:color="auto" w:fill="auto"/>
        <w:spacing w:line="600" w:lineRule="exact"/>
        <w:jc w:val="both"/>
        <w:rPr>
          <w:rFonts w:ascii="宋体" w:eastAsia="宋体" w:cs="宋体" w:hint="eastAsia"/>
          <w:b/>
          <w:bCs/>
          <w:color w:val="auto"/>
          <w:sz w:val="36"/>
          <w:szCs w:val="36"/>
          <w:shd w:val="clear" w:color="auto" w:fill="FFFFFF"/>
          <w:highlight w:val="auto"/>
        </w:rPr>
      </w:pPr>
    </w:p>
    <w:p>
      <w:pPr>
        <w:numPr>
          <w:ilvl w:val="0"/>
          <w:numId w:val="5"/>
        </w:numPr>
        <w:shd w:val="clear" w:color="auto" w:fill="auto"/>
        <w:autoSpaceDE w:val="0"/>
        <w:autoSpaceDN w:val="0"/>
        <w:adjustRightInd w:val="0"/>
        <w:spacing w:line="600" w:lineRule="exact"/>
        <w:ind w:left="0" w:firstLine="0"/>
        <w:jc w:val="left"/>
        <w:rPr>
          <w:rFonts w:ascii="宋体" w:eastAsia="宋体" w:cs="宋体" w:hint="eastAsia"/>
          <w:b/>
          <w:color w:val="auto"/>
          <w:sz w:val="32"/>
          <w:szCs w:val="32"/>
          <w:lang w:val="zh-CN"/>
          <w:highlight w:val="auto"/>
        </w:rPr>
      </w:pPr>
      <w:r>
        <w:rPr>
          <w:rFonts w:ascii="宋体" w:eastAsia="宋体" w:cs="宋体" w:hint="eastAsia"/>
          <w:b/>
          <w:color w:val="auto"/>
          <w:sz w:val="32"/>
          <w:szCs w:val="32"/>
          <w:lang w:val="zh-CN"/>
          <w:highlight w:val="auto"/>
        </w:rPr>
        <w:t>家庭住宅土地价值补偿参考标准</w:t>
      </w:r>
    </w:p>
    <w:tbl>
      <w:tblPr>
        <w:jc w:val="left"/>
        <w:tblInd w:w="0" w:type="dxa"/>
        <w:tblW w:w="9314"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826"/>
        <w:gridCol w:w="1750"/>
        <w:gridCol w:w="1050"/>
        <w:gridCol w:w="2679"/>
        <w:gridCol w:w="3009"/>
      </w:tblGrid>
      <w:tr>
        <w:trPr>
          <w:trHeight w:val="490"/>
        </w:trPr>
        <w:tc>
          <w:tcPr>
            <w:tcW w:w="826"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序号</w:t>
            </w:r>
          </w:p>
        </w:tc>
        <w:tc>
          <w:tcPr>
            <w:tcW w:w="1750"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项目名称</w:t>
            </w:r>
          </w:p>
        </w:tc>
        <w:tc>
          <w:tcPr>
            <w:tcW w:w="1050"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单位</w:t>
            </w:r>
          </w:p>
        </w:tc>
        <w:tc>
          <w:tcPr>
            <w:tcW w:w="2679"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单价（元）</w:t>
            </w:r>
          </w:p>
        </w:tc>
        <w:tc>
          <w:tcPr>
            <w:tcW w:w="3009"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备注</w:t>
            </w:r>
          </w:p>
        </w:tc>
      </w:tr>
      <w:tr>
        <w:trPr>
          <w:trHeight w:val="1186"/>
        </w:trPr>
        <w:tc>
          <w:tcPr>
            <w:tcW w:w="826"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1</w:t>
            </w:r>
          </w:p>
        </w:tc>
        <w:tc>
          <w:tcPr>
            <w:tcW w:w="1750"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土地价值</w:t>
            </w:r>
          </w:p>
        </w:tc>
        <w:tc>
          <w:tcPr>
            <w:tcW w:w="1050"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w:t>
            </w:r>
          </w:p>
        </w:tc>
        <w:tc>
          <w:tcPr>
            <w:tcW w:w="2679"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lang w:val="en-US" w:eastAsia="zh-CN"/>
                <w:highlight w:val="auto"/>
              </w:rPr>
            </w:pPr>
            <w:r>
              <w:rPr>
                <w:rFonts w:ascii="宋体" w:eastAsia="宋体" w:cs="宋体" w:hint="eastAsia"/>
                <w:b w:val="0"/>
                <w:bCs w:val="0"/>
                <w:color w:val="auto"/>
                <w:spacing w:val="0"/>
                <w:sz w:val="32"/>
                <w:szCs w:val="32"/>
                <w:lang w:val="en-US" w:eastAsia="zh-CN"/>
                <w:highlight w:val="auto"/>
              </w:rPr>
              <w:t>1500</w:t>
            </w:r>
          </w:p>
        </w:tc>
        <w:tc>
          <w:tcPr>
            <w:tcW w:w="3009"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4"/>
                <w:highlight w:val="auto"/>
              </w:rPr>
              <w:t xml:space="preserve">具体参照周边土地（商住、住宅用途）市场价值均价 </w:t>
            </w:r>
          </w:p>
        </w:tc>
      </w:tr>
    </w:tbl>
    <w:p>
      <w:pPr>
        <w:numPr>
          <w:ilvl w:val="0"/>
          <w:numId w:val="5"/>
        </w:numPr>
        <w:shd w:val="clear" w:color="auto" w:fill="auto"/>
        <w:autoSpaceDE w:val="0"/>
        <w:autoSpaceDN w:val="0"/>
        <w:adjustRightInd w:val="0"/>
        <w:spacing w:line="600" w:lineRule="exact"/>
        <w:ind w:left="0" w:firstLine="0"/>
        <w:jc w:val="left"/>
        <w:rPr>
          <w:rFonts w:ascii="宋体" w:eastAsia="宋体" w:cs="宋体" w:hint="eastAsia"/>
          <w:b/>
          <w:color w:val="auto"/>
          <w:sz w:val="32"/>
          <w:szCs w:val="32"/>
          <w:lang w:val="zh-CN"/>
          <w:highlight w:val="auto"/>
        </w:rPr>
      </w:pPr>
      <w:r>
        <w:rPr>
          <w:rFonts w:ascii="宋体" w:eastAsia="宋体" w:cs="宋体" w:hint="eastAsia"/>
          <w:b/>
          <w:color w:val="auto"/>
          <w:sz w:val="32"/>
          <w:szCs w:val="32"/>
          <w:lang w:val="zh-CN"/>
          <w:highlight w:val="auto"/>
        </w:rPr>
        <w:t>村民住宅建筑物补偿标准</w:t>
      </w:r>
    </w:p>
    <w:tbl>
      <w:tblPr>
        <w:jc w:val="left"/>
        <w:tblInd w:w="0" w:type="dxa"/>
        <w:tblW w:w="92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65"/>
        <w:gridCol w:w="2395"/>
        <w:gridCol w:w="2205"/>
        <w:gridCol w:w="835"/>
        <w:gridCol w:w="1940"/>
        <w:gridCol w:w="1058"/>
      </w:tblGrid>
      <w:tr>
        <w:trPr>
          <w:trHeight w:val="194"/>
        </w:trPr>
        <w:tc>
          <w:tcPr>
            <w:tcW w:w="865"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序号</w:t>
            </w:r>
          </w:p>
        </w:tc>
        <w:tc>
          <w:tcPr>
            <w:tcW w:w="4600" w:type="dxa"/>
            <w:gridSpan w:val="2"/>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房屋结构</w:t>
            </w:r>
          </w:p>
        </w:tc>
        <w:tc>
          <w:tcPr>
            <w:tcW w:w="835"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bCs/>
                <w:color w:val="auto"/>
                <w:kern w:val="0"/>
                <w:sz w:val="28"/>
                <w:szCs w:val="28"/>
                <w:lang w:eastAsia="zh-CN"/>
                <w:highlight w:val="auto"/>
              </w:rPr>
            </w:pPr>
            <w:r>
              <w:rPr>
                <w:rFonts w:ascii="宋体" w:eastAsia="宋体" w:cs="宋体" w:hint="eastAsia"/>
                <w:b/>
                <w:bCs/>
                <w:color w:val="auto"/>
                <w:kern w:val="0"/>
                <w:sz w:val="28"/>
                <w:szCs w:val="28"/>
                <w:lang w:eastAsia="zh-CN"/>
                <w:highlight w:val="auto"/>
              </w:rPr>
              <w:t>单位</w:t>
            </w:r>
          </w:p>
        </w:tc>
        <w:tc>
          <w:tcPr>
            <w:tcW w:w="1940"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单价（元/㎡）</w:t>
            </w:r>
          </w:p>
        </w:tc>
        <w:tc>
          <w:tcPr>
            <w:tcW w:w="1058"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bCs/>
                <w:color w:val="auto"/>
                <w:kern w:val="0"/>
                <w:sz w:val="28"/>
                <w:szCs w:val="28"/>
                <w:lang w:eastAsia="zh-CN"/>
                <w:highlight w:val="auto"/>
              </w:rPr>
            </w:pPr>
            <w:r>
              <w:rPr>
                <w:rFonts w:ascii="宋体" w:eastAsia="宋体" w:cs="宋体" w:hint="eastAsia"/>
                <w:b/>
                <w:bCs/>
                <w:color w:val="auto"/>
                <w:kern w:val="0"/>
                <w:sz w:val="28"/>
                <w:szCs w:val="28"/>
                <w:lang w:eastAsia="zh-CN"/>
                <w:highlight w:val="auto"/>
              </w:rPr>
              <w:t>备注</w:t>
            </w:r>
          </w:p>
        </w:tc>
      </w:tr>
      <w:tr>
        <w:trPr>
          <w:trHeight w:val="194"/>
        </w:trPr>
        <w:tc>
          <w:tcPr>
            <w:tcW w:w="865" w:type="dxa"/>
            <w:vMerge w:val="restart"/>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1</w:t>
            </w:r>
          </w:p>
        </w:tc>
        <w:tc>
          <w:tcPr>
            <w:tcW w:w="2395" w:type="dxa"/>
            <w:vMerge w:val="restart"/>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框架结构</w:t>
            </w:r>
          </w:p>
        </w:tc>
        <w:tc>
          <w:tcPr>
            <w:tcW w:w="2205"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lang w:eastAsia="zh-CN"/>
                <w:highlight w:val="auto"/>
              </w:rPr>
            </w:pPr>
            <w:r>
              <w:rPr>
                <w:rFonts w:ascii="宋体" w:eastAsia="宋体" w:cs="宋体" w:hint="eastAsia"/>
                <w:color w:val="auto"/>
                <w:kern w:val="0"/>
                <w:sz w:val="28"/>
                <w:szCs w:val="28"/>
                <w:lang w:eastAsia="zh-CN"/>
                <w:highlight w:val="auto"/>
              </w:rPr>
              <w:t>无砌砖</w:t>
            </w:r>
          </w:p>
        </w:tc>
        <w:tc>
          <w:tcPr>
            <w:tcW w:w="835"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val="0"/>
                <w:bCs w:val="0"/>
                <w:color w:val="auto"/>
                <w:kern w:val="0"/>
                <w:sz w:val="28"/>
                <w:szCs w:val="28"/>
                <w:lang w:eastAsia="zh-CN"/>
                <w:highlight w:val="auto"/>
              </w:rPr>
            </w:pPr>
            <w:r>
              <w:rPr>
                <w:rFonts w:ascii="宋体" w:eastAsia="宋体" w:cs="宋体" w:hint="eastAsia"/>
                <w:b w:val="0"/>
                <w:bCs w:val="0"/>
                <w:color w:val="auto"/>
                <w:kern w:val="0"/>
                <w:sz w:val="28"/>
                <w:szCs w:val="28"/>
                <w:highlight w:val="auto"/>
              </w:rPr>
              <w:t>㎡</w:t>
            </w:r>
          </w:p>
        </w:tc>
        <w:tc>
          <w:tcPr>
            <w:tcW w:w="1940"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b w:val="0"/>
                <w:bCs w:val="0"/>
                <w:color w:val="auto"/>
                <w:spacing w:val="0"/>
                <w:sz w:val="32"/>
                <w:szCs w:val="32"/>
                <w:lang w:val="en-US" w:eastAsia="zh-CN"/>
                <w:highlight w:val="auto"/>
              </w:rPr>
            </w:pPr>
            <w:r>
              <w:rPr>
                <w:rFonts w:ascii="宋体" w:eastAsia="宋体" w:cs="宋体" w:hint="eastAsia"/>
                <w:b w:val="0"/>
                <w:bCs w:val="0"/>
                <w:color w:val="auto"/>
                <w:spacing w:val="0"/>
                <w:sz w:val="32"/>
                <w:szCs w:val="32"/>
                <w:lang w:val="en-US" w:eastAsia="zh-CN"/>
                <w:highlight w:val="auto"/>
              </w:rPr>
              <w:t>750</w:t>
            </w:r>
          </w:p>
        </w:tc>
        <w:tc>
          <w:tcPr>
            <w:tcW w:w="1058" w:type="dxa"/>
            <w:vMerge w:val="restart"/>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lang w:val="en-US" w:eastAsia="zh-CN"/>
                <w:highlight w:val="auto"/>
              </w:rPr>
            </w:pPr>
            <w:r>
              <w:rPr>
                <w:rFonts w:ascii="宋体" w:eastAsia="宋体" w:cs="宋体" w:hint="eastAsia"/>
                <w:color w:val="auto"/>
                <w:kern w:val="0"/>
                <w:sz w:val="28"/>
                <w:szCs w:val="28"/>
                <w:lang w:val="en-US" w:eastAsia="zh-CN"/>
                <w:highlight w:val="auto"/>
              </w:rPr>
              <w:t>含基础</w:t>
            </w:r>
          </w:p>
        </w:tc>
      </w:tr>
      <w:tr>
        <w:trPr>
          <w:trHeight w:val="194"/>
        </w:trPr>
        <w:tc>
          <w:tcPr>
            <w:tcW w:w="865" w:type="dxa"/>
            <w:vMerge/>
            <w:tcBorders>
              <w:top w:val="single" w:sz="4" w:space="0" w:color="auto"/>
              <w:left w:val="single" w:sz="4" w:space="0" w:color="auto"/>
              <w:bottom w:val="single" w:sz="4" w:space="0" w:color="auto"/>
              <w:right w:val="single" w:sz="4" w:space="0" w:color="auto"/>
            </w:tcBorders>
            <w:noWrap/>
            <w:vAlign w:val="center"/>
          </w:tcPr>
          <w:p/>
        </w:tc>
        <w:tc>
          <w:tcPr>
            <w:tcW w:w="2395" w:type="dxa"/>
            <w:vMerge/>
            <w:tcBorders>
              <w:top w:val="single" w:sz="4" w:space="0" w:color="auto"/>
              <w:left w:val="single" w:sz="4" w:space="0" w:color="auto"/>
              <w:bottom w:val="single" w:sz="4" w:space="0" w:color="auto"/>
              <w:right w:val="single" w:sz="4" w:space="0" w:color="auto"/>
            </w:tcBorders>
            <w:noWrap/>
            <w:vAlign w:val="center"/>
          </w:tcPr>
          <w:p/>
        </w:tc>
        <w:tc>
          <w:tcPr>
            <w:tcW w:w="2205"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lang w:eastAsia="zh-CN"/>
                <w:highlight w:val="auto"/>
              </w:rPr>
            </w:pPr>
            <w:r>
              <w:rPr>
                <w:rFonts w:ascii="宋体" w:eastAsia="宋体" w:cs="宋体" w:hint="eastAsia"/>
                <w:color w:val="auto"/>
                <w:kern w:val="0"/>
                <w:sz w:val="28"/>
                <w:szCs w:val="28"/>
                <w:lang w:eastAsia="zh-CN"/>
                <w:highlight w:val="auto"/>
              </w:rPr>
              <w:t>有砌砖无批档</w:t>
            </w:r>
          </w:p>
        </w:tc>
        <w:tc>
          <w:tcPr>
            <w:tcW w:w="835"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val="0"/>
                <w:bCs w:val="0"/>
                <w:color w:val="auto"/>
                <w:kern w:val="0"/>
                <w:sz w:val="28"/>
                <w:szCs w:val="28"/>
                <w:lang w:eastAsia="zh-CN"/>
                <w:highlight w:val="auto"/>
              </w:rPr>
            </w:pPr>
            <w:r>
              <w:rPr>
                <w:rFonts w:ascii="宋体" w:eastAsia="宋体" w:cs="宋体" w:hint="eastAsia"/>
                <w:b w:val="0"/>
                <w:bCs w:val="0"/>
                <w:color w:val="auto"/>
                <w:kern w:val="0"/>
                <w:sz w:val="28"/>
                <w:szCs w:val="28"/>
                <w:highlight w:val="auto"/>
              </w:rPr>
              <w:t>㎡</w:t>
            </w:r>
          </w:p>
        </w:tc>
        <w:tc>
          <w:tcPr>
            <w:tcW w:w="1940"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b w:val="0"/>
                <w:bCs w:val="0"/>
                <w:color w:val="auto"/>
                <w:spacing w:val="0"/>
                <w:sz w:val="32"/>
                <w:szCs w:val="32"/>
                <w:lang w:val="en-US" w:eastAsia="zh-CN"/>
                <w:highlight w:val="auto"/>
              </w:rPr>
            </w:pPr>
            <w:r>
              <w:rPr>
                <w:rFonts w:ascii="宋体" w:eastAsia="宋体" w:cs="宋体" w:hint="eastAsia"/>
                <w:b w:val="0"/>
                <w:bCs w:val="0"/>
                <w:color w:val="auto"/>
                <w:spacing w:val="0"/>
                <w:sz w:val="32"/>
                <w:szCs w:val="32"/>
                <w:lang w:val="en-US" w:eastAsia="zh-CN"/>
                <w:highlight w:val="auto"/>
              </w:rPr>
              <w:t>1050</w:t>
            </w:r>
          </w:p>
        </w:tc>
        <w:tc>
          <w:tcPr>
            <w:tcW w:w="1058" w:type="dxa"/>
            <w:vMerge/>
            <w:tcBorders>
              <w:top w:val="single" w:sz="4" w:space="0" w:color="auto"/>
              <w:left w:val="single" w:sz="4" w:space="0" w:color="auto"/>
              <w:bottom w:val="single" w:sz="4" w:space="0" w:color="auto"/>
              <w:right w:val="single" w:sz="4" w:space="0" w:color="auto"/>
            </w:tcBorders>
            <w:noWrap/>
            <w:vAlign w:val="center"/>
          </w:tcPr>
          <w:p/>
        </w:tc>
      </w:tr>
      <w:tr>
        <w:trPr>
          <w:trHeight w:val="384"/>
        </w:trPr>
        <w:tc>
          <w:tcPr>
            <w:tcW w:w="865" w:type="dxa"/>
            <w:vMerge/>
            <w:tcBorders>
              <w:top w:val="single" w:sz="4" w:space="0" w:color="auto"/>
              <w:left w:val="single" w:sz="4" w:space="0" w:color="auto"/>
              <w:bottom w:val="single" w:sz="4" w:space="0" w:color="auto"/>
              <w:right w:val="single" w:sz="4" w:space="0" w:color="auto"/>
            </w:tcBorders>
            <w:noWrap/>
            <w:vAlign w:val="center"/>
          </w:tcPr>
          <w:p/>
        </w:tc>
        <w:tc>
          <w:tcPr>
            <w:tcW w:w="2395" w:type="dxa"/>
            <w:vMerge/>
            <w:tcBorders>
              <w:top w:val="single" w:sz="4" w:space="0" w:color="auto"/>
              <w:left w:val="single" w:sz="4" w:space="0" w:color="auto"/>
              <w:bottom w:val="single" w:sz="4" w:space="0" w:color="auto"/>
              <w:right w:val="single" w:sz="4" w:space="0" w:color="auto"/>
            </w:tcBorders>
            <w:noWrap/>
            <w:vAlign w:val="center"/>
          </w:tcPr>
          <w:p/>
        </w:tc>
        <w:tc>
          <w:tcPr>
            <w:tcW w:w="2205"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lang w:eastAsia="zh-CN"/>
                <w:highlight w:val="auto"/>
              </w:rPr>
              <w:t>有砌砖有批档</w:t>
            </w:r>
          </w:p>
        </w:tc>
        <w:tc>
          <w:tcPr>
            <w:tcW w:w="835"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val="0"/>
                <w:bCs w:val="0"/>
                <w:color w:val="auto"/>
                <w:kern w:val="0"/>
                <w:sz w:val="28"/>
                <w:szCs w:val="28"/>
                <w:lang w:eastAsia="zh-CN"/>
                <w:highlight w:val="auto"/>
              </w:rPr>
            </w:pPr>
            <w:r>
              <w:rPr>
                <w:rFonts w:ascii="宋体" w:eastAsia="宋体" w:cs="宋体" w:hint="eastAsia"/>
                <w:b w:val="0"/>
                <w:bCs w:val="0"/>
                <w:color w:val="auto"/>
                <w:kern w:val="0"/>
                <w:sz w:val="28"/>
                <w:szCs w:val="28"/>
                <w:highlight w:val="auto"/>
              </w:rPr>
              <w:t>㎡</w:t>
            </w:r>
          </w:p>
        </w:tc>
        <w:tc>
          <w:tcPr>
            <w:tcW w:w="1940"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b w:val="0"/>
                <w:bCs w:val="0"/>
                <w:color w:val="auto"/>
                <w:spacing w:val="0"/>
                <w:sz w:val="32"/>
                <w:szCs w:val="32"/>
                <w:lang w:val="en-US" w:eastAsia="zh-CN"/>
                <w:highlight w:val="auto"/>
              </w:rPr>
            </w:pPr>
            <w:r>
              <w:rPr>
                <w:rFonts w:ascii="宋体" w:eastAsia="宋体" w:cs="宋体" w:hint="eastAsia"/>
                <w:b w:val="0"/>
                <w:bCs w:val="0"/>
                <w:color w:val="auto"/>
                <w:spacing w:val="0"/>
                <w:sz w:val="32"/>
                <w:szCs w:val="32"/>
                <w:lang w:val="en-US" w:eastAsia="zh-CN"/>
                <w:highlight w:val="auto"/>
              </w:rPr>
              <w:t>1250</w:t>
            </w:r>
          </w:p>
        </w:tc>
        <w:tc>
          <w:tcPr>
            <w:tcW w:w="1058" w:type="dxa"/>
            <w:vMerge/>
            <w:tcBorders>
              <w:top w:val="single" w:sz="4" w:space="0" w:color="auto"/>
              <w:left w:val="single" w:sz="4" w:space="0" w:color="auto"/>
              <w:bottom w:val="single" w:sz="4" w:space="0" w:color="auto"/>
              <w:right w:val="single" w:sz="4" w:space="0" w:color="auto"/>
            </w:tcBorders>
            <w:noWrap/>
            <w:vAlign w:val="center"/>
          </w:tcPr>
          <w:p/>
        </w:tc>
      </w:tr>
      <w:tr>
        <w:trPr>
          <w:trHeight w:val="194"/>
        </w:trPr>
        <w:tc>
          <w:tcPr>
            <w:tcW w:w="865" w:type="dxa"/>
            <w:vMerge w:val="restart"/>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2</w:t>
            </w:r>
          </w:p>
        </w:tc>
        <w:tc>
          <w:tcPr>
            <w:tcW w:w="2395" w:type="dxa"/>
            <w:vMerge w:val="restart"/>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混合结构</w:t>
            </w:r>
          </w:p>
        </w:tc>
        <w:tc>
          <w:tcPr>
            <w:tcW w:w="2205"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lang w:eastAsia="zh-CN"/>
                <w:highlight w:val="auto"/>
              </w:rPr>
              <w:t>有砌砖无批档</w:t>
            </w:r>
          </w:p>
        </w:tc>
        <w:tc>
          <w:tcPr>
            <w:tcW w:w="835"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val="0"/>
                <w:bCs w:val="0"/>
                <w:color w:val="auto"/>
                <w:kern w:val="0"/>
                <w:sz w:val="28"/>
                <w:szCs w:val="28"/>
                <w:highlight w:val="auto"/>
              </w:rPr>
            </w:pPr>
            <w:r>
              <w:rPr>
                <w:rFonts w:ascii="宋体" w:eastAsia="宋体" w:cs="宋体" w:hint="eastAsia"/>
                <w:b w:val="0"/>
                <w:bCs w:val="0"/>
                <w:color w:val="auto"/>
                <w:kern w:val="0"/>
                <w:sz w:val="28"/>
                <w:szCs w:val="28"/>
                <w:highlight w:val="auto"/>
              </w:rPr>
              <w:t>㎡</w:t>
            </w:r>
          </w:p>
        </w:tc>
        <w:tc>
          <w:tcPr>
            <w:tcW w:w="1940"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b w:val="0"/>
                <w:bCs w:val="0"/>
                <w:color w:val="auto"/>
                <w:spacing w:val="0"/>
                <w:sz w:val="32"/>
                <w:szCs w:val="32"/>
                <w:lang w:val="en-US" w:eastAsia="zh-CN"/>
                <w:highlight w:val="auto"/>
              </w:rPr>
            </w:pPr>
            <w:r>
              <w:rPr>
                <w:rFonts w:ascii="宋体" w:eastAsia="宋体" w:cs="宋体" w:hint="eastAsia"/>
                <w:b w:val="0"/>
                <w:bCs w:val="0"/>
                <w:color w:val="auto"/>
                <w:spacing w:val="0"/>
                <w:sz w:val="32"/>
                <w:szCs w:val="32"/>
                <w:lang w:val="en-US" w:eastAsia="zh-CN"/>
                <w:highlight w:val="auto"/>
              </w:rPr>
              <w:t>900</w:t>
            </w:r>
          </w:p>
        </w:tc>
        <w:tc>
          <w:tcPr>
            <w:tcW w:w="1058" w:type="dxa"/>
            <w:vMerge/>
            <w:tcBorders>
              <w:top w:val="single" w:sz="4" w:space="0" w:color="auto"/>
              <w:left w:val="single" w:sz="4" w:space="0" w:color="auto"/>
              <w:bottom w:val="single" w:sz="4" w:space="0" w:color="auto"/>
              <w:right w:val="single" w:sz="4" w:space="0" w:color="auto"/>
            </w:tcBorders>
            <w:noWrap/>
            <w:vAlign w:val="center"/>
          </w:tcPr>
          <w:p/>
        </w:tc>
      </w:tr>
      <w:tr>
        <w:trPr>
          <w:trHeight w:val="384"/>
        </w:trPr>
        <w:tc>
          <w:tcPr>
            <w:tcW w:w="865" w:type="dxa"/>
            <w:vMerge/>
            <w:tcBorders>
              <w:top w:val="single" w:sz="4" w:space="0" w:color="auto"/>
              <w:left w:val="single" w:sz="4" w:space="0" w:color="auto"/>
              <w:bottom w:val="single" w:sz="4" w:space="0" w:color="auto"/>
              <w:right w:val="single" w:sz="4" w:space="0" w:color="auto"/>
            </w:tcBorders>
            <w:noWrap/>
            <w:vAlign w:val="center"/>
          </w:tcPr>
          <w:p/>
        </w:tc>
        <w:tc>
          <w:tcPr>
            <w:tcW w:w="2395" w:type="dxa"/>
            <w:vMerge/>
            <w:tcBorders>
              <w:top w:val="single" w:sz="4" w:space="0" w:color="auto"/>
              <w:left w:val="single" w:sz="4" w:space="0" w:color="auto"/>
              <w:bottom w:val="single" w:sz="4" w:space="0" w:color="auto"/>
              <w:right w:val="single" w:sz="4" w:space="0" w:color="auto"/>
            </w:tcBorders>
            <w:noWrap/>
            <w:vAlign w:val="center"/>
          </w:tcPr>
          <w:p/>
        </w:tc>
        <w:tc>
          <w:tcPr>
            <w:tcW w:w="2205"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lang w:eastAsia="zh-CN"/>
                <w:highlight w:val="auto"/>
              </w:rPr>
              <w:t>有砌砖有批档</w:t>
            </w:r>
          </w:p>
        </w:tc>
        <w:tc>
          <w:tcPr>
            <w:tcW w:w="835"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val="0"/>
                <w:bCs w:val="0"/>
                <w:color w:val="auto"/>
                <w:kern w:val="0"/>
                <w:sz w:val="28"/>
                <w:szCs w:val="28"/>
                <w:highlight w:val="auto"/>
              </w:rPr>
            </w:pPr>
            <w:r>
              <w:rPr>
                <w:rFonts w:ascii="宋体" w:eastAsia="宋体" w:cs="宋体" w:hint="eastAsia"/>
                <w:b w:val="0"/>
                <w:bCs w:val="0"/>
                <w:color w:val="auto"/>
                <w:kern w:val="0"/>
                <w:sz w:val="28"/>
                <w:szCs w:val="28"/>
                <w:highlight w:val="auto"/>
              </w:rPr>
              <w:t>㎡</w:t>
            </w:r>
          </w:p>
        </w:tc>
        <w:tc>
          <w:tcPr>
            <w:tcW w:w="1940"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b w:val="0"/>
                <w:bCs w:val="0"/>
                <w:color w:val="auto"/>
                <w:spacing w:val="0"/>
                <w:sz w:val="32"/>
                <w:szCs w:val="32"/>
                <w:lang w:val="en-US" w:eastAsia="zh-CN"/>
                <w:highlight w:val="auto"/>
              </w:rPr>
            </w:pPr>
            <w:r>
              <w:rPr>
                <w:rFonts w:ascii="宋体" w:eastAsia="宋体" w:cs="宋体" w:hint="eastAsia"/>
                <w:b w:val="0"/>
                <w:bCs w:val="0"/>
                <w:color w:val="auto"/>
                <w:spacing w:val="0"/>
                <w:sz w:val="32"/>
                <w:szCs w:val="32"/>
                <w:lang w:val="en-US" w:eastAsia="zh-CN"/>
                <w:highlight w:val="auto"/>
              </w:rPr>
              <w:t>1100</w:t>
            </w:r>
          </w:p>
        </w:tc>
        <w:tc>
          <w:tcPr>
            <w:tcW w:w="1058" w:type="dxa"/>
            <w:vMerge/>
            <w:tcBorders>
              <w:top w:val="single" w:sz="4" w:space="0" w:color="auto"/>
              <w:left w:val="single" w:sz="4" w:space="0" w:color="auto"/>
              <w:bottom w:val="single" w:sz="4" w:space="0" w:color="auto"/>
              <w:right w:val="single" w:sz="4" w:space="0" w:color="auto"/>
            </w:tcBorders>
            <w:noWrap/>
            <w:vAlign w:val="center"/>
          </w:tcPr>
          <w:p/>
        </w:tc>
      </w:tr>
      <w:tr>
        <w:trPr>
          <w:trHeight w:val="194"/>
        </w:trPr>
        <w:tc>
          <w:tcPr>
            <w:tcW w:w="865" w:type="dxa"/>
            <w:vMerge w:val="restart"/>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3</w:t>
            </w:r>
          </w:p>
        </w:tc>
        <w:tc>
          <w:tcPr>
            <w:tcW w:w="2395" w:type="dxa"/>
            <w:vMerge w:val="restart"/>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（泥、红）砖木瓦结构</w:t>
            </w:r>
          </w:p>
        </w:tc>
        <w:tc>
          <w:tcPr>
            <w:tcW w:w="2205"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lang w:eastAsia="zh-CN"/>
                <w:highlight w:val="auto"/>
              </w:rPr>
              <w:t>有砌砖无批档</w:t>
            </w:r>
          </w:p>
        </w:tc>
        <w:tc>
          <w:tcPr>
            <w:tcW w:w="835"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val="0"/>
                <w:bCs w:val="0"/>
                <w:color w:val="auto"/>
                <w:kern w:val="0"/>
                <w:sz w:val="28"/>
                <w:szCs w:val="28"/>
                <w:highlight w:val="auto"/>
              </w:rPr>
            </w:pPr>
            <w:r>
              <w:rPr>
                <w:rFonts w:ascii="宋体" w:eastAsia="宋体" w:cs="宋体" w:hint="eastAsia"/>
                <w:b w:val="0"/>
                <w:bCs w:val="0"/>
                <w:color w:val="auto"/>
                <w:kern w:val="0"/>
                <w:sz w:val="28"/>
                <w:szCs w:val="28"/>
                <w:highlight w:val="auto"/>
              </w:rPr>
              <w:t>㎡</w:t>
            </w:r>
          </w:p>
        </w:tc>
        <w:tc>
          <w:tcPr>
            <w:tcW w:w="1940"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val="0"/>
                <w:bCs w:val="0"/>
                <w:color w:val="auto"/>
                <w:spacing w:val="0"/>
                <w:sz w:val="32"/>
                <w:szCs w:val="32"/>
                <w:lang w:val="en-US" w:eastAsia="zh-CN"/>
                <w:highlight w:val="auto"/>
              </w:rPr>
            </w:pPr>
            <w:r>
              <w:rPr>
                <w:rFonts w:ascii="宋体" w:eastAsia="宋体" w:cs="宋体" w:hint="eastAsia"/>
                <w:b w:val="0"/>
                <w:bCs w:val="0"/>
                <w:color w:val="auto"/>
                <w:spacing w:val="0"/>
                <w:sz w:val="32"/>
                <w:szCs w:val="32"/>
                <w:lang w:val="en-US" w:eastAsia="zh-CN"/>
                <w:highlight w:val="auto"/>
              </w:rPr>
              <w:t>700</w:t>
            </w:r>
          </w:p>
        </w:tc>
        <w:tc>
          <w:tcPr>
            <w:tcW w:w="1058" w:type="dxa"/>
            <w:vMerge/>
            <w:tcBorders>
              <w:top w:val="single" w:sz="4" w:space="0" w:color="auto"/>
              <w:left w:val="single" w:sz="4" w:space="0" w:color="auto"/>
              <w:bottom w:val="single" w:sz="4" w:space="0" w:color="auto"/>
              <w:right w:val="single" w:sz="4" w:space="0" w:color="auto"/>
            </w:tcBorders>
            <w:noWrap/>
            <w:vAlign w:val="center"/>
          </w:tcPr>
          <w:p/>
        </w:tc>
      </w:tr>
      <w:tr>
        <w:trPr>
          <w:trHeight w:val="194"/>
        </w:trPr>
        <w:tc>
          <w:tcPr>
            <w:tcW w:w="865" w:type="dxa"/>
            <w:vMerge/>
            <w:tcBorders>
              <w:top w:val="single" w:sz="4" w:space="0" w:color="auto"/>
              <w:left w:val="single" w:sz="4" w:space="0" w:color="auto"/>
              <w:bottom w:val="single" w:sz="4" w:space="0" w:color="auto"/>
              <w:right w:val="single" w:sz="4" w:space="0" w:color="auto"/>
            </w:tcBorders>
            <w:noWrap/>
            <w:vAlign w:val="center"/>
          </w:tcPr>
          <w:p/>
        </w:tc>
        <w:tc>
          <w:tcPr>
            <w:tcW w:w="2395" w:type="dxa"/>
            <w:vMerge/>
            <w:tcBorders>
              <w:top w:val="single" w:sz="4" w:space="0" w:color="auto"/>
              <w:left w:val="single" w:sz="4" w:space="0" w:color="auto"/>
              <w:bottom w:val="single" w:sz="4" w:space="0" w:color="auto"/>
              <w:right w:val="single" w:sz="4" w:space="0" w:color="auto"/>
            </w:tcBorders>
            <w:noWrap/>
            <w:vAlign w:val="center"/>
          </w:tcPr>
          <w:p/>
        </w:tc>
        <w:tc>
          <w:tcPr>
            <w:tcW w:w="2205"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lang w:eastAsia="zh-CN"/>
                <w:highlight w:val="auto"/>
              </w:rPr>
              <w:t>有砌砖有批档</w:t>
            </w:r>
          </w:p>
        </w:tc>
        <w:tc>
          <w:tcPr>
            <w:tcW w:w="835"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val="0"/>
                <w:bCs w:val="0"/>
                <w:color w:val="auto"/>
                <w:kern w:val="0"/>
                <w:sz w:val="28"/>
                <w:szCs w:val="28"/>
                <w:highlight w:val="auto"/>
              </w:rPr>
            </w:pPr>
            <w:r>
              <w:rPr>
                <w:rFonts w:ascii="宋体" w:eastAsia="宋体" w:cs="宋体" w:hint="eastAsia"/>
                <w:b w:val="0"/>
                <w:bCs w:val="0"/>
                <w:color w:val="auto"/>
                <w:kern w:val="0"/>
                <w:sz w:val="28"/>
                <w:szCs w:val="28"/>
                <w:highlight w:val="auto"/>
              </w:rPr>
              <w:t>㎡</w:t>
            </w:r>
          </w:p>
        </w:tc>
        <w:tc>
          <w:tcPr>
            <w:tcW w:w="1940"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b w:val="0"/>
                <w:bCs w:val="0"/>
                <w:color w:val="auto"/>
                <w:spacing w:val="0"/>
                <w:sz w:val="32"/>
                <w:szCs w:val="32"/>
                <w:lang w:val="en-US" w:eastAsia="zh-CN"/>
                <w:highlight w:val="auto"/>
              </w:rPr>
            </w:pPr>
            <w:r>
              <w:rPr>
                <w:rFonts w:ascii="宋体" w:eastAsia="宋体" w:cs="宋体" w:hint="eastAsia"/>
                <w:b w:val="0"/>
                <w:bCs w:val="0"/>
                <w:color w:val="auto"/>
                <w:spacing w:val="0"/>
                <w:sz w:val="32"/>
                <w:szCs w:val="32"/>
                <w:lang w:val="en-US" w:eastAsia="zh-CN"/>
                <w:highlight w:val="auto"/>
              </w:rPr>
              <w:t>900</w:t>
            </w:r>
          </w:p>
        </w:tc>
        <w:tc>
          <w:tcPr>
            <w:tcW w:w="1058" w:type="dxa"/>
            <w:vMerge/>
            <w:tcBorders>
              <w:top w:val="single" w:sz="4" w:space="0" w:color="auto"/>
              <w:left w:val="single" w:sz="4" w:space="0" w:color="auto"/>
              <w:bottom w:val="single" w:sz="4" w:space="0" w:color="auto"/>
              <w:right w:val="single" w:sz="4" w:space="0" w:color="auto"/>
            </w:tcBorders>
            <w:noWrap/>
            <w:vAlign w:val="center"/>
          </w:tcPr>
          <w:p/>
        </w:tc>
      </w:tr>
      <w:tr>
        <w:trPr>
          <w:trHeight w:val="194"/>
        </w:trPr>
        <w:tc>
          <w:tcPr>
            <w:tcW w:w="865" w:type="dxa"/>
            <w:vMerge w:val="restart"/>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lang w:val="en-US" w:eastAsia="zh-CN"/>
                <w:highlight w:val="auto"/>
              </w:rPr>
            </w:pPr>
            <w:r>
              <w:rPr>
                <w:rFonts w:ascii="宋体" w:eastAsia="宋体" w:cs="宋体" w:hint="eastAsia"/>
                <w:color w:val="auto"/>
                <w:kern w:val="0"/>
                <w:sz w:val="28"/>
                <w:szCs w:val="28"/>
                <w:lang w:val="en-US" w:eastAsia="zh-CN"/>
                <w:highlight w:val="auto"/>
              </w:rPr>
              <w:t>4</w:t>
            </w:r>
          </w:p>
        </w:tc>
        <w:tc>
          <w:tcPr>
            <w:tcW w:w="2395" w:type="dxa"/>
            <w:vMerge w:val="restart"/>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lang w:val="en-US" w:eastAsia="zh-CN"/>
                <w:highlight w:val="auto"/>
              </w:rPr>
            </w:pPr>
            <w:r>
              <w:rPr>
                <w:rFonts w:ascii="宋体" w:eastAsia="宋体" w:cs="宋体" w:hint="eastAsia"/>
                <w:color w:val="auto"/>
                <w:kern w:val="0"/>
                <w:sz w:val="28"/>
                <w:szCs w:val="28"/>
                <w:lang w:val="en-US" w:eastAsia="zh-CN"/>
                <w:highlight w:val="auto"/>
              </w:rPr>
              <w:t>红砖铁皮（树脂瓦）结构</w:t>
            </w:r>
          </w:p>
        </w:tc>
        <w:tc>
          <w:tcPr>
            <w:tcW w:w="2205"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lang w:val="en-US" w:eastAsia="zh-CN"/>
                <w:highlight w:val="auto"/>
              </w:rPr>
            </w:pPr>
            <w:r>
              <w:rPr>
                <w:rFonts w:ascii="宋体" w:eastAsia="宋体" w:cs="宋体" w:hint="eastAsia"/>
                <w:color w:val="auto"/>
                <w:kern w:val="0"/>
                <w:sz w:val="28"/>
                <w:szCs w:val="28"/>
                <w:lang w:eastAsia="zh-CN"/>
                <w:highlight w:val="auto"/>
              </w:rPr>
              <w:t>有砌砖无批档</w:t>
            </w:r>
          </w:p>
        </w:tc>
        <w:tc>
          <w:tcPr>
            <w:tcW w:w="835"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val="0"/>
                <w:bCs w:val="0"/>
                <w:color w:val="auto"/>
                <w:kern w:val="0"/>
                <w:sz w:val="28"/>
                <w:szCs w:val="28"/>
                <w:lang w:val="en-US" w:eastAsia="zh-CN"/>
                <w:highlight w:val="auto"/>
              </w:rPr>
            </w:pPr>
            <w:r>
              <w:rPr>
                <w:rFonts w:ascii="宋体" w:eastAsia="宋体" w:cs="宋体" w:hint="eastAsia"/>
                <w:b w:val="0"/>
                <w:bCs w:val="0"/>
                <w:color w:val="auto"/>
                <w:kern w:val="0"/>
                <w:sz w:val="28"/>
                <w:szCs w:val="28"/>
                <w:highlight w:val="auto"/>
              </w:rPr>
              <w:t>㎡</w:t>
            </w:r>
          </w:p>
        </w:tc>
        <w:tc>
          <w:tcPr>
            <w:tcW w:w="1940"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b w:val="0"/>
                <w:bCs w:val="0"/>
                <w:color w:val="auto"/>
                <w:spacing w:val="0"/>
                <w:sz w:val="32"/>
                <w:szCs w:val="32"/>
                <w:lang w:val="en-US" w:eastAsia="zh-CN"/>
                <w:highlight w:val="auto"/>
              </w:rPr>
            </w:pPr>
            <w:r>
              <w:rPr>
                <w:rFonts w:ascii="宋体" w:eastAsia="宋体" w:cs="宋体" w:hint="eastAsia"/>
                <w:b w:val="0"/>
                <w:bCs w:val="0"/>
                <w:color w:val="auto"/>
                <w:spacing w:val="0"/>
                <w:sz w:val="32"/>
                <w:szCs w:val="32"/>
                <w:lang w:val="en-US" w:eastAsia="zh-CN"/>
                <w:highlight w:val="auto"/>
              </w:rPr>
              <w:t>500</w:t>
            </w:r>
          </w:p>
        </w:tc>
        <w:tc>
          <w:tcPr>
            <w:tcW w:w="1058" w:type="dxa"/>
            <w:vMerge/>
            <w:tcBorders>
              <w:top w:val="single" w:sz="4" w:space="0" w:color="auto"/>
              <w:left w:val="single" w:sz="4" w:space="0" w:color="auto"/>
              <w:bottom w:val="single" w:sz="4" w:space="0" w:color="auto"/>
              <w:right w:val="single" w:sz="4" w:space="0" w:color="auto"/>
            </w:tcBorders>
            <w:noWrap/>
            <w:vAlign w:val="center"/>
          </w:tcPr>
          <w:p/>
        </w:tc>
      </w:tr>
      <w:tr>
        <w:trPr>
          <w:trHeight w:val="384"/>
        </w:trPr>
        <w:tc>
          <w:tcPr>
            <w:tcW w:w="865" w:type="dxa"/>
            <w:vMerge/>
            <w:tcBorders>
              <w:top w:val="single" w:sz="4" w:space="0" w:color="auto"/>
              <w:left w:val="single" w:sz="4" w:space="0" w:color="auto"/>
              <w:bottom w:val="single" w:sz="4" w:space="0" w:color="auto"/>
              <w:right w:val="single" w:sz="4" w:space="0" w:color="auto"/>
            </w:tcBorders>
            <w:noWrap/>
            <w:vAlign w:val="center"/>
          </w:tcPr>
          <w:p/>
        </w:tc>
        <w:tc>
          <w:tcPr>
            <w:tcW w:w="2395" w:type="dxa"/>
            <w:vMerge/>
            <w:tcBorders>
              <w:top w:val="single" w:sz="4" w:space="0" w:color="auto"/>
              <w:left w:val="single" w:sz="4" w:space="0" w:color="auto"/>
              <w:bottom w:val="single" w:sz="4" w:space="0" w:color="auto"/>
              <w:right w:val="single" w:sz="4" w:space="0" w:color="auto"/>
            </w:tcBorders>
            <w:noWrap/>
            <w:vAlign w:val="center"/>
          </w:tcPr>
          <w:p/>
        </w:tc>
        <w:tc>
          <w:tcPr>
            <w:tcW w:w="2205"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lang w:val="en-US" w:eastAsia="zh-CN"/>
                <w:highlight w:val="auto"/>
              </w:rPr>
            </w:pPr>
            <w:r>
              <w:rPr>
                <w:rFonts w:ascii="宋体" w:eastAsia="宋体" w:cs="宋体" w:hint="eastAsia"/>
                <w:color w:val="auto"/>
                <w:kern w:val="0"/>
                <w:sz w:val="28"/>
                <w:szCs w:val="28"/>
                <w:lang w:eastAsia="zh-CN"/>
                <w:highlight w:val="auto"/>
              </w:rPr>
              <w:t>有砌砖有批档</w:t>
            </w:r>
          </w:p>
        </w:tc>
        <w:tc>
          <w:tcPr>
            <w:tcW w:w="835"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val="0"/>
                <w:bCs w:val="0"/>
                <w:color w:val="auto"/>
                <w:kern w:val="0"/>
                <w:sz w:val="28"/>
                <w:szCs w:val="28"/>
                <w:lang w:val="en-US" w:eastAsia="zh-CN"/>
                <w:highlight w:val="auto"/>
              </w:rPr>
            </w:pPr>
            <w:r>
              <w:rPr>
                <w:rFonts w:ascii="宋体" w:eastAsia="宋体" w:cs="宋体" w:hint="eastAsia"/>
                <w:b w:val="0"/>
                <w:bCs w:val="0"/>
                <w:color w:val="auto"/>
                <w:kern w:val="0"/>
                <w:sz w:val="28"/>
                <w:szCs w:val="28"/>
                <w:highlight w:val="auto"/>
              </w:rPr>
              <w:t>㎡</w:t>
            </w:r>
          </w:p>
        </w:tc>
        <w:tc>
          <w:tcPr>
            <w:tcW w:w="1940"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val="0"/>
                <w:bCs w:val="0"/>
                <w:color w:val="auto"/>
                <w:spacing w:val="0"/>
                <w:sz w:val="32"/>
                <w:szCs w:val="32"/>
                <w:lang w:val="en-US" w:eastAsia="zh-CN"/>
                <w:highlight w:val="auto"/>
              </w:rPr>
            </w:pPr>
            <w:r>
              <w:rPr>
                <w:rFonts w:ascii="宋体" w:eastAsia="宋体" w:cs="宋体" w:hint="eastAsia"/>
                <w:b w:val="0"/>
                <w:bCs w:val="0"/>
                <w:color w:val="auto"/>
                <w:spacing w:val="0"/>
                <w:sz w:val="32"/>
                <w:szCs w:val="32"/>
                <w:lang w:val="en-US" w:eastAsia="zh-CN"/>
                <w:highlight w:val="auto"/>
              </w:rPr>
              <w:t>700</w:t>
            </w:r>
          </w:p>
        </w:tc>
        <w:tc>
          <w:tcPr>
            <w:tcW w:w="1058" w:type="dxa"/>
            <w:vMerge/>
            <w:tcBorders>
              <w:top w:val="single" w:sz="4" w:space="0" w:color="auto"/>
              <w:left w:val="single" w:sz="4" w:space="0" w:color="auto"/>
              <w:bottom w:val="single" w:sz="4" w:space="0" w:color="auto"/>
              <w:right w:val="single" w:sz="4" w:space="0" w:color="auto"/>
            </w:tcBorders>
            <w:noWrap/>
            <w:vAlign w:val="center"/>
          </w:tcPr>
          <w:p/>
        </w:tc>
      </w:tr>
    </w:tbl>
    <w:p>
      <w:pPr>
        <w:shd w:val="clear" w:color="auto" w:fill="auto"/>
        <w:autoSpaceDE w:val="0"/>
        <w:autoSpaceDN w:val="0"/>
        <w:adjustRightInd w:val="0"/>
        <w:spacing w:line="600" w:lineRule="exact"/>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备注：1.此补偿标准</w:t>
      </w:r>
      <w:r>
        <w:rPr>
          <w:rFonts w:ascii="宋体" w:eastAsia="宋体" w:cs="宋体" w:hint="eastAsia"/>
          <w:color w:val="auto"/>
          <w:kern w:val="0"/>
          <w:sz w:val="28"/>
          <w:szCs w:val="28"/>
          <w:lang w:eastAsia="zh-CN"/>
          <w:highlight w:val="auto"/>
        </w:rPr>
        <w:t>为</w:t>
      </w:r>
      <w:r>
        <w:rPr>
          <w:rFonts w:ascii="宋体" w:eastAsia="宋体" w:cs="宋体" w:hint="eastAsia"/>
          <w:color w:val="auto"/>
          <w:kern w:val="0"/>
          <w:sz w:val="28"/>
          <w:szCs w:val="28"/>
          <w:lang w:val="zh-CN"/>
          <w:highlight w:val="auto"/>
        </w:rPr>
        <w:t>村民住宅建筑物</w:t>
      </w:r>
      <w:r>
        <w:rPr>
          <w:rFonts w:ascii="宋体" w:eastAsia="宋体" w:cs="宋体" w:hint="eastAsia"/>
          <w:color w:val="auto"/>
          <w:kern w:val="0"/>
          <w:sz w:val="28"/>
          <w:szCs w:val="28"/>
          <w:highlight w:val="auto"/>
        </w:rPr>
        <w:t>重置价格补偿</w:t>
      </w:r>
      <w:r>
        <w:rPr>
          <w:rFonts w:ascii="宋体" w:eastAsia="宋体" w:cs="宋体" w:hint="eastAsia"/>
          <w:color w:val="auto"/>
          <w:kern w:val="0"/>
          <w:sz w:val="28"/>
          <w:szCs w:val="28"/>
          <w:lang w:eastAsia="zh-CN"/>
          <w:highlight w:val="auto"/>
        </w:rPr>
        <w:t>，</w:t>
      </w:r>
      <w:r>
        <w:rPr>
          <w:rFonts w:ascii="宋体" w:eastAsia="宋体" w:cs="宋体" w:hint="eastAsia"/>
          <w:color w:val="auto"/>
          <w:kern w:val="0"/>
          <w:sz w:val="28"/>
          <w:szCs w:val="28"/>
          <w:highlight w:val="auto"/>
        </w:rPr>
        <w:t>含基础</w:t>
      </w:r>
      <w:r>
        <w:rPr>
          <w:rFonts w:ascii="宋体" w:eastAsia="宋体" w:cs="宋体" w:hint="eastAsia"/>
          <w:color w:val="auto"/>
          <w:kern w:val="0"/>
          <w:sz w:val="28"/>
          <w:szCs w:val="28"/>
          <w:lang w:eastAsia="zh-CN"/>
          <w:highlight w:val="auto"/>
        </w:rPr>
        <w:t>，</w:t>
      </w:r>
      <w:r>
        <w:rPr>
          <w:rFonts w:ascii="宋体" w:eastAsia="宋体" w:cs="宋体" w:hint="eastAsia"/>
          <w:color w:val="auto"/>
          <w:kern w:val="0"/>
          <w:sz w:val="28"/>
          <w:szCs w:val="28"/>
          <w:highlight w:val="auto"/>
        </w:rPr>
        <w:t>不含地价、不含装修；</w:t>
      </w:r>
    </w:p>
    <w:p>
      <w:pPr>
        <w:shd w:val="clear" w:color="auto" w:fill="auto"/>
        <w:autoSpaceDE w:val="0"/>
        <w:autoSpaceDN w:val="0"/>
        <w:adjustRightInd w:val="0"/>
        <w:spacing w:line="600" w:lineRule="exact"/>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2.对于此标准未覆盖项目，应根据具体情况由有资质的机构评估并报批后确定。</w:t>
      </w:r>
    </w:p>
    <w:p>
      <w:pPr>
        <w:numPr>
          <w:ilvl w:val="0"/>
          <w:numId w:val="5"/>
        </w:numPr>
        <w:shd w:val="clear" w:color="auto" w:fill="auto"/>
        <w:autoSpaceDE w:val="0"/>
        <w:autoSpaceDN w:val="0"/>
        <w:adjustRightInd w:val="0"/>
        <w:spacing w:before="0" w:line="600" w:lineRule="exact"/>
        <w:ind w:left="0" w:firstLine="0"/>
        <w:rPr>
          <w:rFonts w:ascii="宋体" w:eastAsia="宋体" w:cs="宋体" w:hint="eastAsia"/>
          <w:b/>
          <w:bCs/>
          <w:color w:val="auto"/>
          <w:kern w:val="0"/>
          <w:sz w:val="32"/>
          <w:szCs w:val="32"/>
          <w:highlight w:val="auto"/>
        </w:rPr>
      </w:pPr>
      <w:r>
        <w:rPr>
          <w:rFonts w:ascii="宋体" w:eastAsia="宋体" w:cs="宋体" w:hint="eastAsia"/>
          <w:b/>
          <w:bCs/>
          <w:color w:val="auto"/>
          <w:sz w:val="32"/>
          <w:szCs w:val="32"/>
          <w:highlight w:val="auto"/>
        </w:rPr>
        <w:t>室内装修补偿参考标准</w:t>
      </w:r>
    </w:p>
    <w:tbl>
      <w:tblPr>
        <w:jc w:val="left"/>
        <w:tblInd w:w="0" w:type="dxa"/>
        <w:tblW w:w="9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43"/>
        <w:gridCol w:w="1479"/>
        <w:gridCol w:w="854"/>
        <w:gridCol w:w="1491"/>
        <w:gridCol w:w="1593"/>
        <w:gridCol w:w="2916"/>
      </w:tblGrid>
      <w:tr>
        <w:trPr>
          <w:trHeight w:val="278"/>
        </w:trPr>
        <w:tc>
          <w:tcPr>
            <w:tcW w:w="943"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序号</w:t>
            </w:r>
          </w:p>
        </w:tc>
        <w:tc>
          <w:tcPr>
            <w:tcW w:w="1479"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项目名称</w:t>
            </w:r>
          </w:p>
        </w:tc>
        <w:tc>
          <w:tcPr>
            <w:tcW w:w="854"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单位</w:t>
            </w:r>
          </w:p>
        </w:tc>
        <w:tc>
          <w:tcPr>
            <w:tcW w:w="1491"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单价（元）</w:t>
            </w:r>
          </w:p>
        </w:tc>
        <w:tc>
          <w:tcPr>
            <w:tcW w:w="1593"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等级</w:t>
            </w:r>
          </w:p>
        </w:tc>
        <w:tc>
          <w:tcPr>
            <w:tcW w:w="2916"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标准</w:t>
            </w:r>
          </w:p>
        </w:tc>
      </w:tr>
      <w:tr>
        <w:trPr>
          <w:trHeight w:val="551"/>
        </w:trPr>
        <w:tc>
          <w:tcPr>
            <w:tcW w:w="943"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bCs/>
                <w:color w:val="auto"/>
                <w:kern w:val="0"/>
                <w:sz w:val="28"/>
                <w:szCs w:val="28"/>
                <w:highlight w:val="auto"/>
              </w:rPr>
            </w:pPr>
            <w:r>
              <w:rPr>
                <w:rFonts w:ascii="宋体" w:eastAsia="宋体" w:cs="宋体" w:hint="eastAsia"/>
                <w:color w:val="auto"/>
                <w:kern w:val="0"/>
                <w:sz w:val="28"/>
                <w:szCs w:val="28"/>
                <w:highlight w:val="auto"/>
              </w:rPr>
              <w:t>1</w:t>
            </w:r>
          </w:p>
        </w:tc>
        <w:tc>
          <w:tcPr>
            <w:tcW w:w="1479" w:type="dxa"/>
            <w:vMerge w:val="restart"/>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房屋装修</w:t>
            </w:r>
          </w:p>
        </w:tc>
        <w:tc>
          <w:tcPr>
            <w:tcW w:w="854" w:type="dxa"/>
            <w:vMerge w:val="restart"/>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w:t>
            </w:r>
          </w:p>
        </w:tc>
        <w:tc>
          <w:tcPr>
            <w:tcW w:w="1491"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bCs/>
                <w:color w:val="auto"/>
                <w:kern w:val="0"/>
                <w:sz w:val="28"/>
                <w:szCs w:val="28"/>
                <w:lang w:val="en-US" w:eastAsia="zh-CN"/>
                <w:highlight w:val="auto"/>
              </w:rPr>
            </w:pPr>
            <w:r>
              <w:rPr>
                <w:rFonts w:ascii="宋体" w:eastAsia="宋体" w:cs="宋体" w:hint="eastAsia"/>
                <w:color w:val="auto"/>
                <w:kern w:val="0"/>
                <w:sz w:val="28"/>
                <w:szCs w:val="28"/>
                <w:lang w:val="en-US" w:eastAsia="zh-CN"/>
                <w:highlight w:val="auto"/>
              </w:rPr>
              <w:t>800-900</w:t>
            </w:r>
          </w:p>
        </w:tc>
        <w:tc>
          <w:tcPr>
            <w:tcW w:w="1593"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bCs/>
                <w:color w:val="auto"/>
                <w:kern w:val="0"/>
                <w:sz w:val="28"/>
                <w:szCs w:val="28"/>
                <w:lang w:eastAsia="zh-CN"/>
                <w:highlight w:val="auto"/>
              </w:rPr>
            </w:pPr>
            <w:r>
              <w:rPr>
                <w:rFonts w:ascii="宋体" w:eastAsia="宋体" w:cs="宋体" w:hint="eastAsia"/>
                <w:color w:val="auto"/>
                <w:kern w:val="0"/>
                <w:sz w:val="28"/>
                <w:szCs w:val="28"/>
                <w:lang w:eastAsia="zh-CN"/>
                <w:highlight w:val="auto"/>
              </w:rPr>
              <w:t>高档装修</w:t>
            </w:r>
          </w:p>
        </w:tc>
        <w:tc>
          <w:tcPr>
            <w:tcW w:w="2916"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lang w:eastAsia="zh-CN"/>
                <w:highlight w:val="auto"/>
              </w:rPr>
            </w:pPr>
            <w:r>
              <w:rPr>
                <w:rFonts w:ascii="宋体" w:eastAsia="宋体" w:cs="宋体" w:hint="eastAsia"/>
                <w:color w:val="auto"/>
                <w:kern w:val="0"/>
                <w:sz w:val="28"/>
                <w:szCs w:val="28"/>
                <w:lang w:eastAsia="zh-CN"/>
                <w:highlight w:val="auto"/>
              </w:rPr>
              <w:t>地面瓷片、上墙瓷片、吊顶、门窗、水电</w:t>
            </w:r>
          </w:p>
        </w:tc>
      </w:tr>
      <w:tr>
        <w:trPr>
          <w:trHeight w:val="278"/>
        </w:trPr>
        <w:tc>
          <w:tcPr>
            <w:tcW w:w="943"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2</w:t>
            </w:r>
          </w:p>
        </w:tc>
        <w:tc>
          <w:tcPr>
            <w:tcW w:w="1479" w:type="dxa"/>
            <w:vMerge/>
            <w:tcBorders>
              <w:top w:val="single" w:sz="4" w:space="0" w:color="auto"/>
              <w:left w:val="nil"/>
              <w:bottom w:val="single" w:sz="4" w:space="0" w:color="auto"/>
              <w:right w:val="single" w:sz="4" w:space="0" w:color="auto"/>
            </w:tcBorders>
            <w:noWrap/>
            <w:vAlign w:val="center"/>
          </w:tcPr>
          <w:p/>
        </w:tc>
        <w:tc>
          <w:tcPr>
            <w:tcW w:w="854" w:type="dxa"/>
            <w:vMerge/>
            <w:tcBorders>
              <w:top w:val="single" w:sz="4" w:space="0" w:color="auto"/>
              <w:left w:val="nil"/>
              <w:bottom w:val="single" w:sz="4" w:space="0" w:color="auto"/>
              <w:right w:val="single" w:sz="4" w:space="0" w:color="auto"/>
            </w:tcBorders>
            <w:noWrap/>
            <w:vAlign w:val="center"/>
          </w:tcPr>
          <w:p/>
        </w:tc>
        <w:tc>
          <w:tcPr>
            <w:tcW w:w="1491"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lang w:val="en-US" w:eastAsia="zh-CN"/>
                <w:highlight w:val="auto"/>
              </w:rPr>
            </w:pPr>
            <w:r>
              <w:rPr>
                <w:rFonts w:ascii="宋体" w:eastAsia="宋体" w:cs="宋体" w:hint="eastAsia"/>
                <w:color w:val="auto"/>
                <w:kern w:val="0"/>
                <w:sz w:val="28"/>
                <w:szCs w:val="28"/>
                <w:lang w:val="en-US" w:eastAsia="zh-CN"/>
                <w:highlight w:val="auto"/>
              </w:rPr>
              <w:t>600-700</w:t>
            </w:r>
          </w:p>
        </w:tc>
        <w:tc>
          <w:tcPr>
            <w:tcW w:w="1593"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中档装修</w:t>
            </w:r>
          </w:p>
        </w:tc>
        <w:tc>
          <w:tcPr>
            <w:tcW w:w="2916"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lang w:eastAsia="zh-CN"/>
                <w:highlight w:val="auto"/>
              </w:rPr>
            </w:pPr>
            <w:r>
              <w:rPr>
                <w:rFonts w:ascii="宋体" w:eastAsia="宋体" w:cs="宋体" w:hint="eastAsia"/>
                <w:color w:val="auto"/>
                <w:kern w:val="0"/>
                <w:sz w:val="28"/>
                <w:szCs w:val="28"/>
                <w:lang w:eastAsia="zh-CN"/>
                <w:highlight w:val="auto"/>
              </w:rPr>
              <w:t>地面瓷片、墙膏、吊顶及墙裙、门窗、水电</w:t>
            </w:r>
          </w:p>
        </w:tc>
      </w:tr>
      <w:tr>
        <w:trPr>
          <w:trHeight w:val="551"/>
        </w:trPr>
        <w:tc>
          <w:tcPr>
            <w:tcW w:w="943"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3</w:t>
            </w:r>
          </w:p>
        </w:tc>
        <w:tc>
          <w:tcPr>
            <w:tcW w:w="1479" w:type="dxa"/>
            <w:vMerge/>
            <w:tcBorders>
              <w:top w:val="single" w:sz="4" w:space="0" w:color="auto"/>
              <w:left w:val="nil"/>
              <w:bottom w:val="single" w:sz="4" w:space="0" w:color="auto"/>
              <w:right w:val="single" w:sz="4" w:space="0" w:color="auto"/>
            </w:tcBorders>
            <w:noWrap/>
            <w:vAlign w:val="center"/>
          </w:tcPr>
          <w:p/>
        </w:tc>
        <w:tc>
          <w:tcPr>
            <w:tcW w:w="854" w:type="dxa"/>
            <w:vMerge/>
            <w:tcBorders>
              <w:top w:val="single" w:sz="4" w:space="0" w:color="auto"/>
              <w:left w:val="nil"/>
              <w:bottom w:val="single" w:sz="4" w:space="0" w:color="auto"/>
              <w:right w:val="single" w:sz="4" w:space="0" w:color="auto"/>
            </w:tcBorders>
            <w:noWrap/>
            <w:vAlign w:val="center"/>
          </w:tcPr>
          <w:p/>
        </w:tc>
        <w:tc>
          <w:tcPr>
            <w:tcW w:w="1491"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b/>
                <w:bCs/>
                <w:color w:val="auto"/>
                <w:kern w:val="0"/>
                <w:sz w:val="28"/>
                <w:szCs w:val="28"/>
                <w:lang w:val="en-US" w:eastAsia="zh-CN"/>
                <w:highlight w:val="auto"/>
              </w:rPr>
            </w:pPr>
            <w:r>
              <w:rPr>
                <w:rFonts w:ascii="宋体" w:eastAsia="宋体" w:cs="宋体" w:hint="eastAsia"/>
                <w:color w:val="auto"/>
                <w:kern w:val="0"/>
                <w:sz w:val="28"/>
                <w:szCs w:val="28"/>
                <w:lang w:val="en-US" w:eastAsia="zh-CN"/>
                <w:highlight w:val="auto"/>
              </w:rPr>
              <w:t>400-500</w:t>
            </w:r>
          </w:p>
        </w:tc>
        <w:tc>
          <w:tcPr>
            <w:tcW w:w="1593"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低档装修</w:t>
            </w:r>
          </w:p>
        </w:tc>
        <w:tc>
          <w:tcPr>
            <w:tcW w:w="2916"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lang w:eastAsia="zh-CN"/>
                <w:highlight w:val="auto"/>
              </w:rPr>
            </w:pPr>
            <w:r>
              <w:rPr>
                <w:rFonts w:ascii="宋体" w:eastAsia="宋体" w:cs="宋体" w:hint="eastAsia"/>
                <w:color w:val="auto"/>
                <w:kern w:val="0"/>
                <w:sz w:val="28"/>
                <w:szCs w:val="28"/>
                <w:lang w:eastAsia="zh-CN"/>
                <w:highlight w:val="auto"/>
              </w:rPr>
              <w:t>地面瓷片、墙膏、门窗、水电</w:t>
            </w:r>
          </w:p>
        </w:tc>
      </w:tr>
      <w:tr>
        <w:trPr>
          <w:trHeight w:val="551"/>
        </w:trPr>
        <w:tc>
          <w:tcPr>
            <w:tcW w:w="943" w:type="dxa"/>
            <w:tcBorders>
              <w:top w:val="single" w:sz="4" w:space="0" w:color="auto"/>
              <w:left w:val="single" w:sz="4" w:space="0" w:color="auto"/>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4</w:t>
            </w:r>
          </w:p>
        </w:tc>
        <w:tc>
          <w:tcPr>
            <w:tcW w:w="1479" w:type="dxa"/>
            <w:vMerge/>
            <w:tcBorders>
              <w:top w:val="single" w:sz="4" w:space="0" w:color="auto"/>
              <w:left w:val="nil"/>
              <w:bottom w:val="single" w:sz="4" w:space="0" w:color="auto"/>
              <w:right w:val="single" w:sz="4" w:space="0" w:color="auto"/>
            </w:tcBorders>
            <w:noWrap/>
            <w:vAlign w:val="center"/>
          </w:tcPr>
          <w:p/>
        </w:tc>
        <w:tc>
          <w:tcPr>
            <w:tcW w:w="854" w:type="dxa"/>
            <w:vMerge/>
            <w:tcBorders>
              <w:top w:val="single" w:sz="4" w:space="0" w:color="auto"/>
              <w:left w:val="nil"/>
              <w:bottom w:val="single" w:sz="4" w:space="0" w:color="auto"/>
              <w:right w:val="single" w:sz="4" w:space="0" w:color="auto"/>
            </w:tcBorders>
            <w:noWrap/>
            <w:vAlign w:val="center"/>
          </w:tcPr>
          <w:p/>
        </w:tc>
        <w:tc>
          <w:tcPr>
            <w:tcW w:w="1491"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lang w:val="en-US"/>
                <w:highlight w:val="auto"/>
              </w:rPr>
            </w:pPr>
            <w:r>
              <w:rPr>
                <w:rFonts w:ascii="宋体" w:eastAsia="宋体" w:cs="宋体" w:hint="eastAsia"/>
                <w:color w:val="auto"/>
                <w:kern w:val="0"/>
                <w:sz w:val="28"/>
                <w:szCs w:val="28"/>
                <w:lang w:val="en-US" w:eastAsia="zh-CN"/>
                <w:highlight w:val="auto"/>
              </w:rPr>
              <w:t>200-300</w:t>
            </w:r>
          </w:p>
        </w:tc>
        <w:tc>
          <w:tcPr>
            <w:tcW w:w="1593"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普通装修</w:t>
            </w:r>
          </w:p>
        </w:tc>
        <w:tc>
          <w:tcPr>
            <w:tcW w:w="2916" w:type="dxa"/>
            <w:tcBorders>
              <w:top w:val="single" w:sz="4" w:space="0" w:color="auto"/>
              <w:left w:val="nil"/>
              <w:bottom w:val="single" w:sz="4" w:space="0" w:color="auto"/>
              <w:right w:val="single" w:sz="4" w:space="0" w:color="auto"/>
            </w:tcBorders>
            <w:noWrap/>
            <w:vAlign w:val="center"/>
          </w:tcPr>
          <w:p>
            <w:pPr>
              <w:widowControl/>
              <w:shd w:val="clear" w:color="auto" w:fill="auto"/>
              <w:spacing w:line="240" w:lineRule="auto"/>
              <w:jc w:val="center"/>
              <w:rPr>
                <w:rFonts w:ascii="宋体" w:eastAsia="宋体" w:cs="宋体" w:hint="eastAsia"/>
                <w:color w:val="auto"/>
                <w:kern w:val="0"/>
                <w:sz w:val="28"/>
                <w:szCs w:val="28"/>
                <w:lang w:eastAsia="zh-CN"/>
                <w:highlight w:val="auto"/>
              </w:rPr>
            </w:pPr>
            <w:r>
              <w:rPr>
                <w:rFonts w:ascii="宋体" w:eastAsia="宋体" w:cs="宋体" w:hint="eastAsia"/>
                <w:color w:val="auto"/>
                <w:kern w:val="0"/>
                <w:sz w:val="28"/>
                <w:szCs w:val="28"/>
                <w:lang w:eastAsia="zh-CN"/>
                <w:highlight w:val="auto"/>
              </w:rPr>
              <w:t>水泥地面、墙膏、门窗、水电</w:t>
            </w:r>
          </w:p>
        </w:tc>
      </w:tr>
    </w:tbl>
    <w:p>
      <w:pPr>
        <w:shd w:val="clear" w:color="auto" w:fill="auto"/>
        <w:autoSpaceDE w:val="0"/>
        <w:autoSpaceDN w:val="0"/>
        <w:adjustRightInd w:val="0"/>
        <w:spacing w:line="600" w:lineRule="exact"/>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备注：上述各项预估值是指假设咨询对象在室内装修补偿价值</w:t>
      </w:r>
      <w:r>
        <w:rPr>
          <w:rFonts w:ascii="宋体" w:eastAsia="宋体" w:cs="宋体" w:hint="eastAsia"/>
          <w:color w:val="auto"/>
          <w:kern w:val="0"/>
          <w:sz w:val="28"/>
          <w:szCs w:val="28"/>
          <w:lang w:eastAsia="zh-CN"/>
          <w:highlight w:val="auto"/>
        </w:rPr>
        <w:t>，</w:t>
      </w:r>
      <w:r>
        <w:rPr>
          <w:rFonts w:ascii="宋体" w:eastAsia="宋体" w:cs="宋体" w:hint="eastAsia"/>
          <w:color w:val="auto"/>
          <w:kern w:val="0"/>
          <w:sz w:val="28"/>
          <w:szCs w:val="28"/>
          <w:highlight w:val="auto"/>
        </w:rPr>
        <w:t>若装修档次不符按照评估公司现场评估为准。</w:t>
      </w:r>
    </w:p>
    <w:p>
      <w:pPr>
        <w:numPr>
          <w:ilvl w:val="0"/>
          <w:numId w:val="5"/>
        </w:numPr>
        <w:shd w:val="clear" w:color="auto" w:fill="auto"/>
        <w:autoSpaceDE w:val="0"/>
        <w:autoSpaceDN w:val="0"/>
        <w:adjustRightInd w:val="0"/>
        <w:spacing w:before="0" w:line="600" w:lineRule="exact"/>
        <w:ind w:left="0" w:firstLine="0"/>
        <w:rPr>
          <w:rFonts w:ascii="宋体" w:eastAsia="宋体" w:cs="宋体" w:hint="eastAsia"/>
          <w:b/>
          <w:bCs/>
          <w:color w:val="auto"/>
          <w:sz w:val="32"/>
          <w:szCs w:val="32"/>
          <w:highlight w:val="auto"/>
        </w:rPr>
      </w:pPr>
      <w:r>
        <w:rPr>
          <w:rFonts w:ascii="宋体" w:eastAsia="宋体" w:cs="宋体" w:hint="eastAsia"/>
          <w:b/>
          <w:bCs/>
          <w:color w:val="auto"/>
          <w:kern w:val="0"/>
          <w:sz w:val="32"/>
          <w:szCs w:val="32"/>
          <w:highlight w:val="auto"/>
        </w:rPr>
        <w:t>简易附属用房及养殖场补偿参考标准</w:t>
      </w:r>
    </w:p>
    <w:tbl>
      <w:tblPr>
        <w:jc w:val="left"/>
        <w:tblInd w:w="0" w:type="dxa"/>
        <w:tblW w:w="927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953"/>
        <w:gridCol w:w="3850"/>
        <w:gridCol w:w="967"/>
        <w:gridCol w:w="2290"/>
        <w:gridCol w:w="1210"/>
      </w:tblGrid>
      <w:tr>
        <w:trPr>
          <w:trHeight w:val="737"/>
        </w:trPr>
        <w:tc>
          <w:tcPr>
            <w:tcW w:w="953" w:type="dxa"/>
            <w:tcBorders>
              <w:top w:val="single" w:sz="6" w:space="0" w:color="auto"/>
              <w:left w:val="single" w:sz="6" w:space="0" w:color="auto"/>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序号</w:t>
            </w:r>
          </w:p>
        </w:tc>
        <w:tc>
          <w:tcPr>
            <w:tcW w:w="3850"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项目名称</w:t>
            </w:r>
          </w:p>
        </w:tc>
        <w:tc>
          <w:tcPr>
            <w:tcW w:w="967"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单位</w:t>
            </w:r>
          </w:p>
        </w:tc>
        <w:tc>
          <w:tcPr>
            <w:tcW w:w="2290"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单价（元）</w:t>
            </w:r>
          </w:p>
        </w:tc>
        <w:tc>
          <w:tcPr>
            <w:tcW w:w="1210" w:type="dxa"/>
            <w:tcBorders>
              <w:top w:val="single" w:sz="6" w:space="0" w:color="auto"/>
              <w:left w:val="nil"/>
              <w:bottom w:val="single" w:sz="4"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备 注</w:t>
            </w:r>
          </w:p>
        </w:tc>
      </w:tr>
      <w:tr>
        <w:trPr>
          <w:trHeight w:val="737"/>
        </w:trPr>
        <w:tc>
          <w:tcPr>
            <w:tcW w:w="953" w:type="dxa"/>
            <w:tcBorders>
              <w:top w:val="single" w:sz="6" w:space="0" w:color="auto"/>
              <w:left w:val="single" w:sz="6" w:space="0" w:color="auto"/>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1</w:t>
            </w:r>
          </w:p>
        </w:tc>
        <w:tc>
          <w:tcPr>
            <w:tcW w:w="3850"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rPr>
                <w:rFonts w:ascii="宋体" w:eastAsia="宋体" w:cs="宋体" w:hint="eastAsia"/>
                <w:color w:val="auto"/>
                <w:kern w:val="0"/>
                <w:sz w:val="28"/>
                <w:szCs w:val="28"/>
                <w:highlight w:val="auto"/>
              </w:rPr>
            </w:pPr>
            <w:r>
              <w:rPr>
                <w:rFonts w:ascii="宋体" w:eastAsia="宋体" w:cs="宋体" w:hint="eastAsia"/>
                <w:color w:val="auto"/>
                <w:sz w:val="28"/>
                <w:szCs w:val="28"/>
                <w:highlight w:val="auto"/>
              </w:rPr>
              <w:t>红砖铁皮（石棉瓦）</w:t>
            </w:r>
          </w:p>
        </w:tc>
        <w:tc>
          <w:tcPr>
            <w:tcW w:w="967"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m</w:t>
            </w:r>
            <w:r>
              <w:rPr>
                <w:rFonts w:ascii="宋体" w:eastAsia="宋体" w:cs="宋体" w:hint="eastAsia"/>
                <w:color w:val="auto"/>
                <w:kern w:val="0"/>
                <w:sz w:val="28"/>
                <w:szCs w:val="28"/>
                <w:vertAlign w:val="superscript"/>
                <w:highlight w:val="auto"/>
              </w:rPr>
              <w:t>2</w:t>
            </w:r>
          </w:p>
        </w:tc>
        <w:tc>
          <w:tcPr>
            <w:tcW w:w="2290" w:type="dxa"/>
            <w:tcBorders>
              <w:top w:val="single" w:sz="6" w:space="0" w:color="auto"/>
              <w:left w:val="nil"/>
              <w:bottom w:val="single" w:sz="6"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500</w:t>
            </w:r>
          </w:p>
        </w:tc>
        <w:tc>
          <w:tcPr>
            <w:tcW w:w="1210" w:type="dxa"/>
            <w:tcBorders>
              <w:top w:val="single" w:sz="4" w:space="0" w:color="auto"/>
              <w:left w:val="nil"/>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240" w:lineRule="auto"/>
              <w:jc w:val="center"/>
              <w:textAlignment w:val="auto"/>
              <w:rPr>
                <w:rFonts w:ascii="宋体" w:eastAsia="宋体" w:cs="宋体" w:hint="eastAsia"/>
                <w:color w:val="auto"/>
                <w:kern w:val="0"/>
                <w:sz w:val="28"/>
                <w:szCs w:val="28"/>
                <w:lang w:val="en-US" w:eastAsia="zh-CN"/>
                <w:highlight w:val="auto"/>
              </w:rPr>
            </w:pPr>
          </w:p>
        </w:tc>
      </w:tr>
      <w:tr>
        <w:trPr>
          <w:trHeight w:val="737"/>
        </w:trPr>
        <w:tc>
          <w:tcPr>
            <w:tcW w:w="953" w:type="dxa"/>
            <w:tcBorders>
              <w:top w:val="single" w:sz="6" w:space="0" w:color="auto"/>
              <w:left w:val="single" w:sz="6" w:space="0" w:color="auto"/>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2</w:t>
            </w:r>
          </w:p>
        </w:tc>
        <w:tc>
          <w:tcPr>
            <w:tcW w:w="3850"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三栏（单砖、高度1.2m以下）</w:t>
            </w:r>
          </w:p>
        </w:tc>
        <w:tc>
          <w:tcPr>
            <w:tcW w:w="967"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m</w:t>
            </w:r>
            <w:r>
              <w:rPr>
                <w:rFonts w:ascii="宋体" w:eastAsia="宋体" w:cs="宋体" w:hint="eastAsia"/>
                <w:color w:val="auto"/>
                <w:kern w:val="0"/>
                <w:sz w:val="28"/>
                <w:szCs w:val="28"/>
                <w:vertAlign w:val="superscript"/>
                <w:highlight w:val="auto"/>
              </w:rPr>
              <w:t>2</w:t>
            </w:r>
          </w:p>
        </w:tc>
        <w:tc>
          <w:tcPr>
            <w:tcW w:w="2290" w:type="dxa"/>
            <w:tcBorders>
              <w:top w:val="single" w:sz="6" w:space="0" w:color="auto"/>
              <w:left w:val="nil"/>
              <w:bottom w:val="single" w:sz="6"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400</w:t>
            </w:r>
          </w:p>
        </w:tc>
        <w:tc>
          <w:tcPr>
            <w:tcW w:w="1210" w:type="dxa"/>
            <w:tcBorders>
              <w:top w:val="single" w:sz="4" w:space="0" w:color="auto"/>
              <w:left w:val="nil"/>
              <w:bottom w:val="single" w:sz="4"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p>
        </w:tc>
      </w:tr>
      <w:tr>
        <w:trPr>
          <w:trHeight w:val="737"/>
        </w:trPr>
        <w:tc>
          <w:tcPr>
            <w:tcW w:w="953" w:type="dxa"/>
            <w:tcBorders>
              <w:top w:val="single" w:sz="6" w:space="0" w:color="auto"/>
              <w:left w:val="single" w:sz="6" w:space="0" w:color="auto"/>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3</w:t>
            </w:r>
          </w:p>
        </w:tc>
        <w:tc>
          <w:tcPr>
            <w:tcW w:w="3850"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三栏（单砖、高度1.2m以上）</w:t>
            </w:r>
          </w:p>
        </w:tc>
        <w:tc>
          <w:tcPr>
            <w:tcW w:w="967"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m</w:t>
            </w:r>
            <w:r>
              <w:rPr>
                <w:rFonts w:ascii="宋体" w:eastAsia="宋体" w:cs="宋体" w:hint="eastAsia"/>
                <w:color w:val="auto"/>
                <w:kern w:val="0"/>
                <w:sz w:val="28"/>
                <w:szCs w:val="28"/>
                <w:vertAlign w:val="superscript"/>
                <w:highlight w:val="auto"/>
              </w:rPr>
              <w:t>2</w:t>
            </w:r>
          </w:p>
        </w:tc>
        <w:tc>
          <w:tcPr>
            <w:tcW w:w="2290" w:type="dxa"/>
            <w:tcBorders>
              <w:top w:val="single" w:sz="6" w:space="0" w:color="auto"/>
              <w:left w:val="nil"/>
              <w:bottom w:val="single" w:sz="6"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450</w:t>
            </w:r>
          </w:p>
        </w:tc>
        <w:tc>
          <w:tcPr>
            <w:tcW w:w="1210" w:type="dxa"/>
            <w:tcBorders>
              <w:top w:val="single" w:sz="4" w:space="0" w:color="auto"/>
              <w:left w:val="nil"/>
              <w:bottom w:val="single" w:sz="4"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p>
        </w:tc>
      </w:tr>
      <w:tr>
        <w:trPr>
          <w:trHeight w:val="737"/>
        </w:trPr>
        <w:tc>
          <w:tcPr>
            <w:tcW w:w="953" w:type="dxa"/>
            <w:tcBorders>
              <w:top w:val="single" w:sz="6" w:space="0" w:color="auto"/>
              <w:left w:val="single" w:sz="6" w:space="0" w:color="auto"/>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4</w:t>
            </w:r>
          </w:p>
        </w:tc>
        <w:tc>
          <w:tcPr>
            <w:tcW w:w="3850"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三栏（18墙、高度1.2m以下）</w:t>
            </w:r>
          </w:p>
        </w:tc>
        <w:tc>
          <w:tcPr>
            <w:tcW w:w="967"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m</w:t>
            </w:r>
            <w:r>
              <w:rPr>
                <w:rFonts w:ascii="宋体" w:eastAsia="宋体" w:cs="宋体" w:hint="eastAsia"/>
                <w:color w:val="auto"/>
                <w:kern w:val="0"/>
                <w:sz w:val="28"/>
                <w:szCs w:val="28"/>
                <w:vertAlign w:val="superscript"/>
                <w:highlight w:val="auto"/>
              </w:rPr>
              <w:t>2</w:t>
            </w:r>
          </w:p>
        </w:tc>
        <w:tc>
          <w:tcPr>
            <w:tcW w:w="2290" w:type="dxa"/>
            <w:tcBorders>
              <w:top w:val="single" w:sz="6" w:space="0" w:color="auto"/>
              <w:left w:val="nil"/>
              <w:bottom w:val="single" w:sz="6"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500</w:t>
            </w:r>
          </w:p>
        </w:tc>
        <w:tc>
          <w:tcPr>
            <w:tcW w:w="1210" w:type="dxa"/>
            <w:tcBorders>
              <w:top w:val="single" w:sz="4" w:space="0" w:color="auto"/>
              <w:left w:val="nil"/>
              <w:bottom w:val="single" w:sz="4"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p>
        </w:tc>
      </w:tr>
      <w:tr>
        <w:trPr>
          <w:trHeight w:val="737"/>
        </w:trPr>
        <w:tc>
          <w:tcPr>
            <w:tcW w:w="953" w:type="dxa"/>
            <w:tcBorders>
              <w:top w:val="single" w:sz="6" w:space="0" w:color="auto"/>
              <w:left w:val="single" w:sz="6" w:space="0" w:color="auto"/>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5</w:t>
            </w:r>
          </w:p>
        </w:tc>
        <w:tc>
          <w:tcPr>
            <w:tcW w:w="3850"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rPr>
                <w:rFonts w:ascii="宋体" w:eastAsia="宋体" w:cs="宋体" w:hint="eastAsia"/>
                <w:color w:val="auto"/>
                <w:sz w:val="28"/>
                <w:szCs w:val="28"/>
                <w:highlight w:val="auto"/>
              </w:rPr>
            </w:pPr>
            <w:r>
              <w:rPr>
                <w:rFonts w:ascii="宋体" w:eastAsia="宋体" w:cs="宋体" w:hint="eastAsia"/>
                <w:color w:val="auto"/>
                <w:kern w:val="0"/>
                <w:sz w:val="28"/>
                <w:szCs w:val="28"/>
                <w:highlight w:val="auto"/>
              </w:rPr>
              <w:t>三栏（18墙、高度1.2m以上）</w:t>
            </w:r>
          </w:p>
        </w:tc>
        <w:tc>
          <w:tcPr>
            <w:tcW w:w="967"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m</w:t>
            </w:r>
            <w:r>
              <w:rPr>
                <w:rFonts w:ascii="宋体" w:eastAsia="宋体" w:cs="宋体" w:hint="eastAsia"/>
                <w:color w:val="auto"/>
                <w:kern w:val="0"/>
                <w:sz w:val="28"/>
                <w:szCs w:val="28"/>
                <w:vertAlign w:val="superscript"/>
                <w:highlight w:val="auto"/>
              </w:rPr>
              <w:t>2</w:t>
            </w:r>
          </w:p>
        </w:tc>
        <w:tc>
          <w:tcPr>
            <w:tcW w:w="2290" w:type="dxa"/>
            <w:tcBorders>
              <w:top w:val="single" w:sz="6" w:space="0" w:color="auto"/>
              <w:left w:val="nil"/>
              <w:bottom w:val="single" w:sz="6"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550</w:t>
            </w:r>
          </w:p>
        </w:tc>
        <w:tc>
          <w:tcPr>
            <w:tcW w:w="1210" w:type="dxa"/>
            <w:tcBorders>
              <w:top w:val="single" w:sz="4" w:space="0" w:color="auto"/>
              <w:left w:val="nil"/>
              <w:bottom w:val="single" w:sz="4"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p>
        </w:tc>
      </w:tr>
      <w:tr>
        <w:trPr>
          <w:trHeight w:val="737"/>
        </w:trPr>
        <w:tc>
          <w:tcPr>
            <w:tcW w:w="953" w:type="dxa"/>
            <w:tcBorders>
              <w:top w:val="single" w:sz="6" w:space="0" w:color="auto"/>
              <w:left w:val="single" w:sz="6" w:space="0" w:color="auto"/>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6</w:t>
            </w:r>
          </w:p>
        </w:tc>
        <w:tc>
          <w:tcPr>
            <w:tcW w:w="3850"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rPr>
                <w:rFonts w:ascii="宋体" w:eastAsia="宋体" w:cs="宋体" w:hint="eastAsia"/>
                <w:color w:val="auto"/>
                <w:sz w:val="28"/>
                <w:szCs w:val="28"/>
                <w:highlight w:val="auto"/>
              </w:rPr>
            </w:pPr>
            <w:r>
              <w:rPr>
                <w:rFonts w:ascii="宋体" w:eastAsia="宋体" w:cs="宋体" w:hint="eastAsia"/>
                <w:color w:val="auto"/>
                <w:sz w:val="28"/>
                <w:szCs w:val="28"/>
                <w:highlight w:val="auto"/>
              </w:rPr>
              <w:t>无砖铁皮棚（高度2m以下）</w:t>
            </w:r>
          </w:p>
        </w:tc>
        <w:tc>
          <w:tcPr>
            <w:tcW w:w="967"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m</w:t>
            </w:r>
            <w:r>
              <w:rPr>
                <w:rFonts w:ascii="宋体" w:eastAsia="宋体" w:cs="宋体" w:hint="eastAsia"/>
                <w:color w:val="auto"/>
                <w:kern w:val="0"/>
                <w:sz w:val="28"/>
                <w:szCs w:val="28"/>
                <w:vertAlign w:val="superscript"/>
                <w:highlight w:val="auto"/>
              </w:rPr>
              <w:t>2</w:t>
            </w:r>
          </w:p>
        </w:tc>
        <w:tc>
          <w:tcPr>
            <w:tcW w:w="2290" w:type="dxa"/>
            <w:tcBorders>
              <w:top w:val="single" w:sz="6" w:space="0" w:color="auto"/>
              <w:left w:val="nil"/>
              <w:bottom w:val="single" w:sz="6"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150</w:t>
            </w:r>
          </w:p>
        </w:tc>
        <w:tc>
          <w:tcPr>
            <w:tcW w:w="1210" w:type="dxa"/>
            <w:tcBorders>
              <w:top w:val="single" w:sz="4" w:space="0" w:color="auto"/>
              <w:left w:val="nil"/>
              <w:bottom w:val="single" w:sz="4"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p>
        </w:tc>
      </w:tr>
      <w:tr>
        <w:trPr>
          <w:trHeight w:val="737"/>
        </w:trPr>
        <w:tc>
          <w:tcPr>
            <w:tcW w:w="953" w:type="dxa"/>
            <w:tcBorders>
              <w:top w:val="single" w:sz="6" w:space="0" w:color="auto"/>
              <w:left w:val="single" w:sz="6" w:space="0" w:color="auto"/>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7</w:t>
            </w:r>
          </w:p>
        </w:tc>
        <w:tc>
          <w:tcPr>
            <w:tcW w:w="3850"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rPr>
                <w:rFonts w:ascii="宋体" w:eastAsia="宋体" w:cs="宋体" w:hint="eastAsia"/>
                <w:color w:val="auto"/>
                <w:sz w:val="28"/>
                <w:szCs w:val="28"/>
                <w:highlight w:val="auto"/>
              </w:rPr>
            </w:pPr>
            <w:r>
              <w:rPr>
                <w:rFonts w:ascii="宋体" w:eastAsia="宋体" w:cs="宋体" w:hint="eastAsia"/>
                <w:color w:val="auto"/>
                <w:sz w:val="28"/>
                <w:szCs w:val="28"/>
                <w:highlight w:val="auto"/>
              </w:rPr>
              <w:t>无砖铁皮棚（高度2m以上）</w:t>
            </w:r>
          </w:p>
        </w:tc>
        <w:tc>
          <w:tcPr>
            <w:tcW w:w="967"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m</w:t>
            </w:r>
            <w:r>
              <w:rPr>
                <w:rFonts w:ascii="宋体" w:eastAsia="宋体" w:cs="宋体" w:hint="eastAsia"/>
                <w:color w:val="auto"/>
                <w:kern w:val="0"/>
                <w:sz w:val="28"/>
                <w:szCs w:val="28"/>
                <w:vertAlign w:val="superscript"/>
                <w:highlight w:val="auto"/>
              </w:rPr>
              <w:t>2</w:t>
            </w:r>
          </w:p>
        </w:tc>
        <w:tc>
          <w:tcPr>
            <w:tcW w:w="2290" w:type="dxa"/>
            <w:tcBorders>
              <w:top w:val="single" w:sz="6" w:space="0" w:color="auto"/>
              <w:left w:val="nil"/>
              <w:bottom w:val="single" w:sz="6"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200</w:t>
            </w:r>
          </w:p>
        </w:tc>
        <w:tc>
          <w:tcPr>
            <w:tcW w:w="1210" w:type="dxa"/>
            <w:tcBorders>
              <w:top w:val="single" w:sz="4" w:space="0" w:color="auto"/>
              <w:left w:val="nil"/>
              <w:bottom w:val="single" w:sz="4"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p>
        </w:tc>
      </w:tr>
      <w:tr>
        <w:trPr>
          <w:trHeight w:val="737"/>
        </w:trPr>
        <w:tc>
          <w:tcPr>
            <w:tcW w:w="953" w:type="dxa"/>
            <w:tcBorders>
              <w:top w:val="single" w:sz="6" w:space="0" w:color="auto"/>
              <w:left w:val="single" w:sz="6" w:space="0" w:color="auto"/>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8</w:t>
            </w:r>
          </w:p>
        </w:tc>
        <w:tc>
          <w:tcPr>
            <w:tcW w:w="3850"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简易棚房</w:t>
            </w:r>
            <w:r>
              <w:rPr>
                <w:rFonts w:ascii="宋体" w:eastAsia="宋体" w:cs="宋体" w:hint="eastAsia"/>
                <w:color w:val="auto"/>
                <w:sz w:val="28"/>
                <w:szCs w:val="28"/>
                <w:highlight w:val="auto"/>
              </w:rPr>
              <w:t>（高度2m以下）</w:t>
            </w:r>
          </w:p>
        </w:tc>
        <w:tc>
          <w:tcPr>
            <w:tcW w:w="967"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m</w:t>
            </w:r>
            <w:r>
              <w:rPr>
                <w:rFonts w:ascii="宋体" w:eastAsia="宋体" w:cs="宋体" w:hint="eastAsia"/>
                <w:color w:val="auto"/>
                <w:kern w:val="0"/>
                <w:sz w:val="28"/>
                <w:szCs w:val="28"/>
                <w:vertAlign w:val="superscript"/>
                <w:highlight w:val="auto"/>
              </w:rPr>
              <w:t>2</w:t>
            </w:r>
          </w:p>
        </w:tc>
        <w:tc>
          <w:tcPr>
            <w:tcW w:w="2290" w:type="dxa"/>
            <w:tcBorders>
              <w:top w:val="single" w:sz="6" w:space="0" w:color="auto"/>
              <w:left w:val="nil"/>
              <w:bottom w:val="single" w:sz="6"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100</w:t>
            </w:r>
          </w:p>
        </w:tc>
        <w:tc>
          <w:tcPr>
            <w:tcW w:w="1210" w:type="dxa"/>
            <w:tcBorders>
              <w:top w:val="single" w:sz="4" w:space="0" w:color="auto"/>
              <w:left w:val="nil"/>
              <w:bottom w:val="single" w:sz="4"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p>
        </w:tc>
      </w:tr>
      <w:tr>
        <w:trPr>
          <w:trHeight w:val="737"/>
        </w:trPr>
        <w:tc>
          <w:tcPr>
            <w:tcW w:w="953" w:type="dxa"/>
            <w:tcBorders>
              <w:top w:val="single" w:sz="6" w:space="0" w:color="auto"/>
              <w:left w:val="single" w:sz="6" w:space="0" w:color="auto"/>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9</w:t>
            </w:r>
          </w:p>
        </w:tc>
        <w:tc>
          <w:tcPr>
            <w:tcW w:w="3850"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简易棚房</w:t>
            </w:r>
            <w:r>
              <w:rPr>
                <w:rFonts w:ascii="宋体" w:eastAsia="宋体" w:cs="宋体" w:hint="eastAsia"/>
                <w:color w:val="auto"/>
                <w:sz w:val="28"/>
                <w:szCs w:val="28"/>
                <w:highlight w:val="auto"/>
              </w:rPr>
              <w:t>（高度2m以上）</w:t>
            </w:r>
          </w:p>
        </w:tc>
        <w:tc>
          <w:tcPr>
            <w:tcW w:w="967"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m</w:t>
            </w:r>
            <w:r>
              <w:rPr>
                <w:rFonts w:ascii="宋体" w:eastAsia="宋体" w:cs="宋体" w:hint="eastAsia"/>
                <w:color w:val="auto"/>
                <w:kern w:val="0"/>
                <w:sz w:val="28"/>
                <w:szCs w:val="28"/>
                <w:vertAlign w:val="superscript"/>
                <w:highlight w:val="auto"/>
              </w:rPr>
              <w:t>2</w:t>
            </w:r>
          </w:p>
        </w:tc>
        <w:tc>
          <w:tcPr>
            <w:tcW w:w="2290" w:type="dxa"/>
            <w:tcBorders>
              <w:top w:val="single" w:sz="6" w:space="0" w:color="auto"/>
              <w:left w:val="nil"/>
              <w:bottom w:val="single" w:sz="6"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color w:val="auto"/>
                <w:kern w:val="0"/>
                <w:sz w:val="28"/>
                <w:szCs w:val="28"/>
                <w:lang w:val="en-US" w:eastAsia="zh-CN"/>
                <w:highlight w:val="auto"/>
              </w:rPr>
            </w:pPr>
            <w:r>
              <w:rPr>
                <w:rFonts w:ascii="宋体" w:eastAsia="宋体" w:cs="宋体" w:hint="eastAsia"/>
                <w:color w:val="auto"/>
                <w:kern w:val="0"/>
                <w:sz w:val="28"/>
                <w:szCs w:val="28"/>
                <w:lang w:val="en-US" w:eastAsia="zh-CN"/>
                <w:highlight w:val="auto"/>
              </w:rPr>
              <w:t>150</w:t>
            </w:r>
          </w:p>
        </w:tc>
        <w:tc>
          <w:tcPr>
            <w:tcW w:w="1210" w:type="dxa"/>
            <w:tcBorders>
              <w:top w:val="single" w:sz="4" w:space="0" w:color="auto"/>
              <w:left w:val="nil"/>
              <w:bottom w:val="single" w:sz="4"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p>
        </w:tc>
      </w:tr>
      <w:tr>
        <w:trPr>
          <w:trHeight w:val="737"/>
        </w:trPr>
        <w:tc>
          <w:tcPr>
            <w:tcW w:w="953" w:type="dxa"/>
            <w:tcBorders>
              <w:top w:val="single" w:sz="6" w:space="0" w:color="auto"/>
              <w:left w:val="single" w:sz="6" w:space="0" w:color="auto"/>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10</w:t>
            </w:r>
          </w:p>
        </w:tc>
        <w:tc>
          <w:tcPr>
            <w:tcW w:w="3850"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rPr>
                <w:rFonts w:ascii="宋体" w:eastAsia="宋体" w:cs="宋体" w:hint="eastAsia"/>
                <w:color w:val="auto"/>
                <w:sz w:val="28"/>
                <w:szCs w:val="28"/>
                <w:highlight w:val="auto"/>
              </w:rPr>
            </w:pPr>
            <w:r>
              <w:rPr>
                <w:rFonts w:ascii="宋体" w:eastAsia="宋体" w:cs="宋体" w:hint="eastAsia"/>
                <w:color w:val="auto"/>
                <w:kern w:val="0"/>
                <w:sz w:val="28"/>
                <w:szCs w:val="28"/>
                <w:highlight w:val="auto"/>
              </w:rPr>
              <w:t>室内养殖补助</w:t>
            </w:r>
          </w:p>
        </w:tc>
        <w:tc>
          <w:tcPr>
            <w:tcW w:w="967"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m</w:t>
            </w:r>
            <w:r>
              <w:rPr>
                <w:rFonts w:ascii="宋体" w:eastAsia="宋体" w:cs="宋体" w:hint="eastAsia"/>
                <w:color w:val="auto"/>
                <w:kern w:val="0"/>
                <w:sz w:val="28"/>
                <w:szCs w:val="28"/>
                <w:vertAlign w:val="superscript"/>
                <w:highlight w:val="auto"/>
              </w:rPr>
              <w:t>2</w:t>
            </w:r>
          </w:p>
        </w:tc>
        <w:tc>
          <w:tcPr>
            <w:tcW w:w="2290" w:type="dxa"/>
            <w:tcBorders>
              <w:top w:val="single" w:sz="6" w:space="0" w:color="auto"/>
              <w:left w:val="nil"/>
              <w:bottom w:val="single" w:sz="6"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5</w:t>
            </w:r>
            <w:r>
              <w:rPr>
                <w:rFonts w:ascii="宋体" w:eastAsia="宋体" w:cs="宋体" w:hint="eastAsia"/>
                <w:color w:val="auto"/>
                <w:kern w:val="0"/>
                <w:sz w:val="28"/>
                <w:szCs w:val="28"/>
                <w:highlight w:val="auto"/>
              </w:rPr>
              <w:t>0-</w:t>
            </w:r>
            <w:r>
              <w:rPr>
                <w:rFonts w:ascii="宋体" w:eastAsia="宋体" w:cs="宋体" w:hint="eastAsia"/>
                <w:color w:val="auto"/>
                <w:kern w:val="0"/>
                <w:sz w:val="28"/>
                <w:szCs w:val="28"/>
                <w:lang w:val="en-US" w:eastAsia="zh-CN"/>
                <w:highlight w:val="auto"/>
              </w:rPr>
              <w:t>2</w:t>
            </w:r>
            <w:r>
              <w:rPr>
                <w:rFonts w:ascii="宋体" w:eastAsia="宋体" w:cs="宋体" w:hint="eastAsia"/>
                <w:color w:val="auto"/>
                <w:kern w:val="0"/>
                <w:sz w:val="28"/>
                <w:szCs w:val="28"/>
                <w:highlight w:val="auto"/>
              </w:rPr>
              <w:t>00</w:t>
            </w:r>
          </w:p>
        </w:tc>
        <w:tc>
          <w:tcPr>
            <w:tcW w:w="1210" w:type="dxa"/>
            <w:tcBorders>
              <w:top w:val="single" w:sz="4" w:space="0" w:color="auto"/>
              <w:left w:val="nil"/>
              <w:bottom w:val="single" w:sz="4"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p>
        </w:tc>
      </w:tr>
      <w:tr>
        <w:trPr>
          <w:trHeight w:val="737"/>
        </w:trPr>
        <w:tc>
          <w:tcPr>
            <w:tcW w:w="953" w:type="dxa"/>
            <w:tcBorders>
              <w:top w:val="single" w:sz="6" w:space="0" w:color="auto"/>
              <w:left w:val="single" w:sz="6" w:space="0" w:color="auto"/>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11</w:t>
            </w:r>
          </w:p>
        </w:tc>
        <w:tc>
          <w:tcPr>
            <w:tcW w:w="3850"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标准养猪场（混合结构）</w:t>
            </w:r>
          </w:p>
        </w:tc>
        <w:tc>
          <w:tcPr>
            <w:tcW w:w="967"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m</w:t>
            </w:r>
            <w:r>
              <w:rPr>
                <w:rFonts w:ascii="宋体" w:eastAsia="宋体" w:cs="宋体" w:hint="eastAsia"/>
                <w:color w:val="auto"/>
                <w:kern w:val="0"/>
                <w:sz w:val="28"/>
                <w:szCs w:val="28"/>
                <w:vertAlign w:val="superscript"/>
                <w:highlight w:val="auto"/>
              </w:rPr>
              <w:t>2</w:t>
            </w:r>
          </w:p>
        </w:tc>
        <w:tc>
          <w:tcPr>
            <w:tcW w:w="2290" w:type="dxa"/>
            <w:tcBorders>
              <w:top w:val="single" w:sz="6" w:space="0" w:color="auto"/>
              <w:left w:val="nil"/>
              <w:bottom w:val="single" w:sz="6"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800</w:t>
            </w:r>
          </w:p>
        </w:tc>
        <w:tc>
          <w:tcPr>
            <w:tcW w:w="1210" w:type="dxa"/>
            <w:tcBorders>
              <w:top w:val="single" w:sz="4" w:space="0" w:color="auto"/>
              <w:left w:val="nil"/>
              <w:bottom w:val="single" w:sz="4"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p>
        </w:tc>
      </w:tr>
      <w:tr>
        <w:trPr>
          <w:trHeight w:val="737"/>
        </w:trPr>
        <w:tc>
          <w:tcPr>
            <w:tcW w:w="953" w:type="dxa"/>
            <w:tcBorders>
              <w:top w:val="single" w:sz="6" w:space="0" w:color="auto"/>
              <w:left w:val="single" w:sz="6" w:space="0" w:color="auto"/>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12</w:t>
            </w:r>
          </w:p>
        </w:tc>
        <w:tc>
          <w:tcPr>
            <w:tcW w:w="3850"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rPr>
                <w:rFonts w:ascii="宋体" w:eastAsia="宋体" w:cs="宋体" w:hint="eastAsia"/>
                <w:color w:val="auto"/>
                <w:sz w:val="28"/>
                <w:szCs w:val="28"/>
                <w:highlight w:val="auto"/>
              </w:rPr>
            </w:pPr>
            <w:r>
              <w:rPr>
                <w:rFonts w:ascii="宋体" w:eastAsia="宋体" w:cs="宋体" w:hint="eastAsia"/>
                <w:color w:val="auto"/>
                <w:kern w:val="0"/>
                <w:sz w:val="28"/>
                <w:szCs w:val="28"/>
                <w:highlight w:val="auto"/>
              </w:rPr>
              <w:t>标准养猪场（框架结构）</w:t>
            </w:r>
          </w:p>
        </w:tc>
        <w:tc>
          <w:tcPr>
            <w:tcW w:w="967"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m</w:t>
            </w:r>
            <w:r>
              <w:rPr>
                <w:rFonts w:ascii="宋体" w:eastAsia="宋体" w:cs="宋体" w:hint="eastAsia"/>
                <w:color w:val="auto"/>
                <w:kern w:val="0"/>
                <w:sz w:val="28"/>
                <w:szCs w:val="28"/>
                <w:vertAlign w:val="superscript"/>
                <w:highlight w:val="auto"/>
              </w:rPr>
              <w:t>2</w:t>
            </w:r>
          </w:p>
        </w:tc>
        <w:tc>
          <w:tcPr>
            <w:tcW w:w="2290" w:type="dxa"/>
            <w:tcBorders>
              <w:top w:val="single" w:sz="6" w:space="0" w:color="auto"/>
              <w:left w:val="nil"/>
              <w:bottom w:val="single" w:sz="6"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900</w:t>
            </w:r>
          </w:p>
        </w:tc>
        <w:tc>
          <w:tcPr>
            <w:tcW w:w="1210" w:type="dxa"/>
            <w:tcBorders>
              <w:top w:val="single" w:sz="4" w:space="0" w:color="auto"/>
              <w:left w:val="nil"/>
              <w:bottom w:val="single" w:sz="4"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p>
        </w:tc>
      </w:tr>
      <w:tr>
        <w:trPr>
          <w:trHeight w:val="774"/>
        </w:trPr>
        <w:tc>
          <w:tcPr>
            <w:tcW w:w="953" w:type="dxa"/>
            <w:tcBorders>
              <w:top w:val="single" w:sz="6" w:space="0" w:color="auto"/>
              <w:left w:val="single" w:sz="6" w:space="0" w:color="auto"/>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13</w:t>
            </w:r>
          </w:p>
        </w:tc>
        <w:tc>
          <w:tcPr>
            <w:tcW w:w="3850"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野外鸡、鸭放养场</w:t>
            </w:r>
          </w:p>
        </w:tc>
        <w:tc>
          <w:tcPr>
            <w:tcW w:w="967" w:type="dxa"/>
            <w:tcBorders>
              <w:top w:val="single" w:sz="6" w:space="0" w:color="auto"/>
              <w:left w:val="nil"/>
              <w:bottom w:val="single" w:sz="6" w:space="0" w:color="auto"/>
              <w:right w:val="single" w:sz="6"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m</w:t>
            </w:r>
            <w:r>
              <w:rPr>
                <w:rFonts w:ascii="宋体" w:eastAsia="宋体" w:cs="宋体" w:hint="eastAsia"/>
                <w:color w:val="auto"/>
                <w:kern w:val="0"/>
                <w:sz w:val="28"/>
                <w:szCs w:val="28"/>
                <w:vertAlign w:val="superscript"/>
                <w:highlight w:val="auto"/>
              </w:rPr>
              <w:t>2</w:t>
            </w:r>
          </w:p>
        </w:tc>
        <w:tc>
          <w:tcPr>
            <w:tcW w:w="2290" w:type="dxa"/>
            <w:tcBorders>
              <w:top w:val="single" w:sz="6" w:space="0" w:color="auto"/>
              <w:left w:val="nil"/>
              <w:bottom w:val="single" w:sz="6"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w:t>
            </w:r>
            <w:r>
              <w:rPr>
                <w:rFonts w:ascii="宋体" w:eastAsia="宋体" w:cs="宋体" w:hint="eastAsia"/>
                <w:color w:val="auto"/>
                <w:kern w:val="0"/>
                <w:sz w:val="28"/>
                <w:szCs w:val="28"/>
                <w:highlight w:val="auto"/>
              </w:rPr>
              <w:t>0-60</w:t>
            </w:r>
          </w:p>
        </w:tc>
        <w:tc>
          <w:tcPr>
            <w:tcW w:w="1210" w:type="dxa"/>
            <w:tcBorders>
              <w:top w:val="single" w:sz="4" w:space="0" w:color="auto"/>
              <w:left w:val="nil"/>
              <w:bottom w:val="single" w:sz="4" w:space="0" w:color="auto"/>
              <w:right w:val="single" w:sz="4" w:space="0" w:color="auto"/>
            </w:tcBorders>
            <w:noWrap/>
            <w:vAlign w:val="center"/>
          </w:tcPr>
          <w:p>
            <w:pPr>
              <w:shd w:val="clear" w:color="auto" w:fill="auto"/>
              <w:autoSpaceDE w:val="0"/>
              <w:autoSpaceDN w:val="0"/>
              <w:adjustRightInd w:val="0"/>
              <w:spacing w:line="240" w:lineRule="auto"/>
              <w:jc w:val="center"/>
              <w:rPr>
                <w:rFonts w:ascii="宋体" w:eastAsia="宋体" w:cs="宋体" w:hint="eastAsia"/>
                <w:color w:val="auto"/>
                <w:kern w:val="0"/>
                <w:sz w:val="28"/>
                <w:szCs w:val="28"/>
                <w:highlight w:val="auto"/>
              </w:rPr>
            </w:pPr>
          </w:p>
        </w:tc>
      </w:tr>
    </w:tbl>
    <w:p>
      <w:pPr>
        <w:shd w:val="clear" w:color="auto" w:fill="auto"/>
        <w:autoSpaceDE w:val="0"/>
        <w:autoSpaceDN w:val="0"/>
        <w:adjustRightInd w:val="0"/>
        <w:spacing w:line="600" w:lineRule="exact"/>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备注：1.此补偿标准</w:t>
      </w:r>
      <w:r>
        <w:rPr>
          <w:rFonts w:ascii="宋体" w:eastAsia="宋体" w:cs="宋体" w:hint="eastAsia"/>
          <w:color w:val="auto"/>
          <w:kern w:val="0"/>
          <w:sz w:val="28"/>
          <w:szCs w:val="28"/>
          <w:lang w:eastAsia="zh-CN"/>
          <w:highlight w:val="auto"/>
        </w:rPr>
        <w:t>为</w:t>
      </w:r>
      <w:r>
        <w:rPr>
          <w:rFonts w:ascii="宋体" w:eastAsia="宋体" w:cs="宋体" w:hint="eastAsia"/>
          <w:color w:val="auto"/>
          <w:kern w:val="0"/>
          <w:sz w:val="28"/>
          <w:szCs w:val="28"/>
          <w:highlight w:val="auto"/>
        </w:rPr>
        <w:t>简易附属用房及养殖场重置价格补偿</w:t>
      </w:r>
      <w:r>
        <w:rPr>
          <w:rFonts w:ascii="宋体" w:eastAsia="宋体" w:cs="宋体" w:hint="eastAsia"/>
          <w:color w:val="auto"/>
          <w:kern w:val="0"/>
          <w:sz w:val="28"/>
          <w:szCs w:val="28"/>
          <w:lang w:eastAsia="zh-CN"/>
          <w:highlight w:val="auto"/>
        </w:rPr>
        <w:t>，</w:t>
      </w:r>
      <w:r>
        <w:rPr>
          <w:rFonts w:ascii="宋体" w:eastAsia="宋体" w:cs="宋体" w:hint="eastAsia"/>
          <w:color w:val="auto"/>
          <w:kern w:val="0"/>
          <w:sz w:val="28"/>
          <w:szCs w:val="28"/>
          <w:highlight w:val="auto"/>
        </w:rPr>
        <w:t>不含地价、不含装修；</w:t>
      </w:r>
    </w:p>
    <w:p>
      <w:pPr>
        <w:numPr>
          <w:ilvl w:val="0"/>
          <w:numId w:val="6"/>
        </w:numPr>
        <w:shd w:val="clear" w:color="auto" w:fill="auto"/>
        <w:autoSpaceDE w:val="0"/>
        <w:autoSpaceDN w:val="0"/>
        <w:adjustRightInd w:val="0"/>
        <w:spacing w:line="600" w:lineRule="exact"/>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对于此标准未覆盖项目，应根据具体情况由有资质的机构评估并报批后确定。</w:t>
      </w:r>
    </w:p>
    <w:p>
      <w:pPr>
        <w:numPr>
          <w:ilvl w:val="0"/>
          <w:numId w:val="5"/>
        </w:numPr>
        <w:shd w:val="clear" w:color="auto" w:fill="auto"/>
        <w:autoSpaceDE w:val="0"/>
        <w:autoSpaceDN w:val="0"/>
        <w:adjustRightInd w:val="0"/>
        <w:spacing w:line="600" w:lineRule="exact"/>
        <w:ind w:left="0" w:firstLine="0"/>
        <w:rPr>
          <w:rFonts w:ascii="宋体" w:eastAsia="宋体" w:cs="宋体" w:hint="eastAsia"/>
          <w:b/>
          <w:bCs/>
          <w:color w:val="auto"/>
          <w:sz w:val="32"/>
          <w:szCs w:val="32"/>
          <w:highlight w:val="auto"/>
        </w:rPr>
      </w:pPr>
      <w:r>
        <w:rPr>
          <w:rFonts w:ascii="宋体" w:eastAsia="宋体" w:cs="宋体" w:hint="eastAsia"/>
          <w:b/>
          <w:bCs/>
          <w:color w:val="auto"/>
          <w:kern w:val="0"/>
          <w:sz w:val="32"/>
          <w:szCs w:val="32"/>
          <w:highlight w:val="auto"/>
        </w:rPr>
        <w:t>构筑物及附属设施补偿参考标准</w:t>
      </w:r>
    </w:p>
    <w:tbl>
      <w:tblPr>
        <w:jc w:val="left"/>
        <w:tblInd w:w="0" w:type="dxa"/>
        <w:tblW w:w="92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38"/>
        <w:gridCol w:w="1663"/>
        <w:gridCol w:w="3962"/>
        <w:gridCol w:w="745"/>
        <w:gridCol w:w="1049"/>
        <w:gridCol w:w="1001"/>
      </w:tblGrid>
      <w:tr>
        <w:trPr>
          <w:trHeight w:val="1150"/>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序号</w:t>
            </w:r>
          </w:p>
        </w:tc>
        <w:tc>
          <w:tcPr>
            <w:tcW w:w="1663"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类别</w:t>
            </w: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项目名称</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单位</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单价（元）</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备 注</w:t>
            </w: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w:t>
            </w:r>
          </w:p>
        </w:tc>
        <w:tc>
          <w:tcPr>
            <w:tcW w:w="1663" w:type="dxa"/>
            <w:vMerge w:val="restart"/>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围墙、挡土墙、基础</w:t>
            </w: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（单砖）砖墙、围墙（未批档）</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130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2</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（单砖）砖墙、围墙（已批档）</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150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3</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（18墙）砖墙、围墙（未批档）</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180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4</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（18墙）砖墙、围墙（已批档）</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200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5</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（24墙）砖墙、围墙（未批档）</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230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6</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（24墙）砖墙、围墙（已批档）</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260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7</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b w:val="0"/>
                <w:bCs w:val="0"/>
                <w:color w:val="auto"/>
                <w:kern w:val="0"/>
                <w:sz w:val="28"/>
                <w:szCs w:val="28"/>
                <w:highlight w:val="auto"/>
              </w:rPr>
            </w:pPr>
            <w:r>
              <w:rPr>
                <w:rFonts w:ascii="宋体" w:eastAsia="宋体" w:cs="宋体" w:hint="eastAsia"/>
                <w:b w:val="0"/>
                <w:bCs w:val="0"/>
                <w:color w:val="auto"/>
                <w:kern w:val="0"/>
                <w:sz w:val="28"/>
                <w:szCs w:val="28"/>
                <w:lang w:val="en-US" w:eastAsia="zh-CN"/>
                <w:highlight w:val="auto"/>
              </w:rPr>
              <w:t>毛石挡土墙</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b w:val="0"/>
                <w:bCs w:val="0"/>
                <w:color w:val="auto"/>
                <w:kern w:val="0"/>
                <w:sz w:val="28"/>
                <w:szCs w:val="28"/>
                <w:highlight w:val="auto"/>
              </w:rPr>
            </w:pPr>
            <w:r>
              <w:rPr>
                <w:rFonts w:ascii="宋体" w:eastAsia="宋体" w:cs="宋体" w:hint="eastAsia"/>
                <w:b w:val="0"/>
                <w:bCs w:val="0"/>
                <w:color w:val="auto"/>
                <w:kern w:val="0"/>
                <w:sz w:val="28"/>
                <w:szCs w:val="28"/>
                <w:lang w:val="en-US" w:eastAsia="zh-CN"/>
                <w:highlight w:val="auto"/>
              </w:rPr>
              <w:t>m³</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b w:val="0"/>
                <w:bCs w:val="0"/>
                <w:color w:val="auto"/>
                <w:kern w:val="0"/>
                <w:sz w:val="28"/>
                <w:szCs w:val="28"/>
                <w:highlight w:val="auto"/>
              </w:rPr>
            </w:pPr>
            <w:r>
              <w:rPr>
                <w:rFonts w:ascii="宋体" w:eastAsia="宋体" w:cs="宋体" w:hint="eastAsia"/>
                <w:b w:val="0"/>
                <w:bCs w:val="0"/>
                <w:color w:val="auto"/>
                <w:kern w:val="0"/>
                <w:sz w:val="28"/>
                <w:szCs w:val="28"/>
                <w:lang w:val="en-US" w:eastAsia="zh-CN"/>
                <w:highlight w:val="auto"/>
              </w:rPr>
              <w:t>400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8</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b w:val="0"/>
                <w:bCs w:val="0"/>
                <w:color w:val="auto"/>
                <w:kern w:val="0"/>
                <w:sz w:val="28"/>
                <w:szCs w:val="28"/>
                <w:highlight w:val="auto"/>
              </w:rPr>
            </w:pPr>
            <w:r>
              <w:rPr>
                <w:rFonts w:ascii="宋体" w:eastAsia="宋体" w:cs="宋体" w:hint="eastAsia"/>
                <w:b w:val="0"/>
                <w:bCs w:val="0"/>
                <w:color w:val="auto"/>
                <w:kern w:val="0"/>
                <w:sz w:val="28"/>
                <w:szCs w:val="28"/>
                <w:lang w:val="en-US" w:eastAsia="zh-CN"/>
                <w:highlight w:val="auto"/>
              </w:rPr>
              <w:t>混凝土挡土墙</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b w:val="0"/>
                <w:bCs w:val="0"/>
                <w:color w:val="auto"/>
                <w:kern w:val="0"/>
                <w:sz w:val="28"/>
                <w:szCs w:val="28"/>
                <w:highlight w:val="auto"/>
              </w:rPr>
            </w:pPr>
            <w:r>
              <w:rPr>
                <w:rFonts w:ascii="宋体" w:eastAsia="宋体" w:cs="宋体" w:hint="eastAsia"/>
                <w:b w:val="0"/>
                <w:bCs w:val="0"/>
                <w:color w:val="auto"/>
                <w:kern w:val="0"/>
                <w:sz w:val="28"/>
                <w:szCs w:val="28"/>
                <w:lang w:val="en-US" w:eastAsia="zh-CN"/>
                <w:highlight w:val="auto"/>
              </w:rPr>
              <w:t>m³</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b w:val="0"/>
                <w:bCs w:val="0"/>
                <w:color w:val="auto"/>
                <w:kern w:val="0"/>
                <w:sz w:val="28"/>
                <w:szCs w:val="28"/>
                <w:highlight w:val="auto"/>
              </w:rPr>
            </w:pPr>
            <w:r>
              <w:rPr>
                <w:rFonts w:ascii="宋体" w:eastAsia="宋体" w:cs="宋体" w:hint="eastAsia"/>
                <w:b w:val="0"/>
                <w:bCs w:val="0"/>
                <w:color w:val="auto"/>
                <w:kern w:val="0"/>
                <w:sz w:val="28"/>
                <w:szCs w:val="28"/>
                <w:lang w:val="en-US" w:eastAsia="zh-CN"/>
                <w:highlight w:val="auto"/>
              </w:rPr>
              <w:t>600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9</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压墙</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200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10</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砖石房屋基础（按建基面积计）</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250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11</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混凝土基础（按建基面积计）</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350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86"/>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12</w:t>
            </w:r>
          </w:p>
        </w:tc>
        <w:tc>
          <w:tcPr>
            <w:tcW w:w="1663" w:type="dxa"/>
            <w:vMerge w:val="restart"/>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门楼</w:t>
            </w: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门楼（宽2米以内）</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座</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3000</w:t>
            </w:r>
          </w:p>
        </w:tc>
        <w:tc>
          <w:tcPr>
            <w:tcW w:w="1001" w:type="dxa"/>
            <w:vMerge w:val="restart"/>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left"/>
              <w:textAlignment w:val="auto"/>
              <w:rPr>
                <w:rFonts w:ascii="宋体" w:eastAsia="宋体" w:cs="宋体" w:hint="eastAsia"/>
                <w:color w:val="auto"/>
                <w:kern w:val="0"/>
                <w:sz w:val="18"/>
                <w:szCs w:val="18"/>
                <w:highlight w:val="auto"/>
              </w:rPr>
            </w:pPr>
            <w:r>
              <w:rPr>
                <w:rFonts w:ascii="宋体" w:eastAsia="宋体" w:cs="宋体" w:hint="eastAsia"/>
                <w:color w:val="auto"/>
                <w:kern w:val="0"/>
                <w:sz w:val="18"/>
                <w:szCs w:val="18"/>
                <w:lang w:val="en-US" w:eastAsia="zh-CN"/>
                <w:highlight w:val="auto"/>
              </w:rPr>
              <w:t>普通门楼标准，外墙瓷砖贴面，特殊工艺、材料、造型以及门匾等另计</w:t>
            </w:r>
          </w:p>
        </w:tc>
      </w:tr>
      <w:tr>
        <w:trPr>
          <w:trHeight w:val="686"/>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13</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门楼（宽2米内、高2米）</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座</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4000</w:t>
            </w:r>
          </w:p>
        </w:tc>
        <w:tc>
          <w:tcPr>
            <w:tcW w:w="1001" w:type="dxa"/>
            <w:vMerge/>
            <w:tcBorders>
              <w:top w:val="single" w:sz="4" w:space="0" w:color="auto"/>
              <w:left w:val="single" w:sz="4" w:space="0" w:color="auto"/>
              <w:bottom w:val="single" w:sz="4" w:space="0" w:color="auto"/>
              <w:right w:val="single" w:sz="4" w:space="0" w:color="auto"/>
            </w:tcBorders>
            <w:noWrap/>
            <w:vAlign w:val="center"/>
          </w:tcPr>
          <w:p/>
        </w:tc>
      </w:tr>
      <w:tr>
        <w:trPr>
          <w:trHeight w:val="686"/>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14</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门楼（宽2.5米内、高2米）</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座</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6000</w:t>
            </w:r>
          </w:p>
        </w:tc>
        <w:tc>
          <w:tcPr>
            <w:tcW w:w="1001" w:type="dxa"/>
            <w:vMerge/>
            <w:tcBorders>
              <w:top w:val="single" w:sz="4" w:space="0" w:color="auto"/>
              <w:left w:val="single" w:sz="4" w:space="0" w:color="auto"/>
              <w:bottom w:val="single" w:sz="4" w:space="0" w:color="auto"/>
              <w:right w:val="single" w:sz="4" w:space="0" w:color="auto"/>
            </w:tcBorders>
            <w:noWrap/>
            <w:vAlign w:val="center"/>
          </w:tcPr>
          <w:p/>
        </w:tc>
      </w:tr>
      <w:tr>
        <w:trPr>
          <w:trHeight w:val="686"/>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15</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门楼（宽3米内、高2米）</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座</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8500</w:t>
            </w:r>
          </w:p>
        </w:tc>
        <w:tc>
          <w:tcPr>
            <w:tcW w:w="1001" w:type="dxa"/>
            <w:vMerge/>
            <w:tcBorders>
              <w:top w:val="single" w:sz="4" w:space="0" w:color="auto"/>
              <w:left w:val="single" w:sz="4" w:space="0" w:color="auto"/>
              <w:bottom w:val="single" w:sz="4" w:space="0" w:color="auto"/>
              <w:right w:val="single" w:sz="4" w:space="0" w:color="auto"/>
            </w:tcBorders>
            <w:noWrap/>
            <w:vAlign w:val="center"/>
          </w:tcPr>
          <w:p/>
        </w:tc>
      </w:tr>
      <w:tr>
        <w:trPr>
          <w:trHeight w:val="739"/>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16</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门楼（宽3米以上、高2米以上）</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座</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11000</w:t>
            </w:r>
          </w:p>
        </w:tc>
        <w:tc>
          <w:tcPr>
            <w:tcW w:w="1001" w:type="dxa"/>
            <w:vMerge/>
            <w:tcBorders>
              <w:top w:val="single" w:sz="4" w:space="0" w:color="auto"/>
              <w:left w:val="single" w:sz="4" w:space="0" w:color="auto"/>
              <w:bottom w:val="single" w:sz="4" w:space="0" w:color="auto"/>
              <w:right w:val="single" w:sz="4" w:space="0" w:color="auto"/>
            </w:tcBorders>
            <w:noWrap/>
            <w:vAlign w:val="center"/>
          </w:tc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17</w:t>
            </w:r>
          </w:p>
        </w:tc>
        <w:tc>
          <w:tcPr>
            <w:tcW w:w="1663" w:type="dxa"/>
            <w:vMerge w:val="restart"/>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混凝土道路</w:t>
            </w: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混凝土道路（220mm厚）</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210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18</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混凝土道路（150mm厚）</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170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19</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混凝土道路（100mm厚）</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130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20</w:t>
            </w:r>
          </w:p>
        </w:tc>
        <w:tc>
          <w:tcPr>
            <w:tcW w:w="1663" w:type="dxa"/>
            <w:vMerge w:val="restart"/>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lang w:val="en-US" w:eastAsia="zh-CN"/>
                <w:highlight w:val="auto"/>
              </w:rPr>
            </w:pPr>
            <w:r>
              <w:rPr>
                <w:rFonts w:ascii="宋体" w:eastAsia="宋体" w:cs="宋体" w:hint="eastAsia"/>
                <w:color w:val="auto"/>
                <w:kern w:val="0"/>
                <w:sz w:val="28"/>
                <w:szCs w:val="28"/>
                <w:lang w:val="en-US" w:eastAsia="zh-CN"/>
                <w:highlight w:val="auto"/>
              </w:rPr>
              <w:t>其他</w:t>
            </w:r>
          </w:p>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附属设施</w:t>
            </w: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普通水井（按容积计）</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m³</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500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21</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泥井（限5m³以内）</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m³</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150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22</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手摇井</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口</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2000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23</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晒坪</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80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24</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水泥地坪</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100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25</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化粪池</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个</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3000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26</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家用沼气池</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m³</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500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27</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户外水池（砖）</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m³</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300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28</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水渠、水沟（砖）</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m</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150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29</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炉灶（水泥砂浆面）</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套</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1000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30</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炉灶（瓷片贴面）</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套</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2500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31</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炉灶（大理石贴面）</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m</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750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lang w:val="en-US" w:eastAsia="zh-CN"/>
                <w:highlight w:val="auto"/>
              </w:rPr>
            </w:pPr>
            <w:r>
              <w:rPr>
                <w:rFonts w:ascii="宋体" w:eastAsia="宋体" w:cs="宋体" w:hint="eastAsia"/>
                <w:color w:val="auto"/>
                <w:kern w:val="0"/>
                <w:sz w:val="28"/>
                <w:szCs w:val="28"/>
                <w:lang w:val="en-US" w:eastAsia="zh-CN"/>
                <w:highlight w:val="auto"/>
              </w:rPr>
              <w:t>32</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lang w:val="en-US" w:eastAsia="zh-CN"/>
                <w:highlight w:val="auto"/>
              </w:rPr>
            </w:pPr>
            <w:r>
              <w:rPr>
                <w:rFonts w:ascii="宋体" w:eastAsia="宋体" w:cs="宋体" w:hint="eastAsia"/>
                <w:color w:val="auto"/>
                <w:kern w:val="0"/>
                <w:sz w:val="28"/>
                <w:szCs w:val="28"/>
                <w:lang w:val="en-US" w:eastAsia="zh-CN"/>
                <w:highlight w:val="auto"/>
              </w:rPr>
              <w:t>机井</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lang w:val="en-US" w:eastAsia="zh-CN"/>
                <w:highlight w:val="auto"/>
              </w:rPr>
            </w:pPr>
            <w:r>
              <w:rPr>
                <w:rFonts w:ascii="宋体" w:eastAsia="宋体" w:cs="宋体" w:hint="eastAsia"/>
                <w:color w:val="auto"/>
                <w:kern w:val="0"/>
                <w:sz w:val="28"/>
                <w:szCs w:val="28"/>
                <w:lang w:val="en-US" w:eastAsia="zh-CN"/>
                <w:highlight w:val="auto"/>
              </w:rPr>
              <w:t>m</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lang w:val="en-US" w:eastAsia="zh-CN"/>
                <w:highlight w:val="auto"/>
              </w:rPr>
            </w:pPr>
            <w:r>
              <w:rPr>
                <w:rFonts w:ascii="宋体" w:eastAsia="宋体" w:cs="宋体" w:hint="eastAsia"/>
                <w:color w:val="auto"/>
                <w:kern w:val="0"/>
                <w:sz w:val="28"/>
                <w:szCs w:val="28"/>
                <w:lang w:val="en-US" w:eastAsia="zh-CN"/>
                <w:highlight w:val="auto"/>
              </w:rPr>
              <w:t>300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lang w:val="en-US" w:eastAsia="zh-CN"/>
                <w:highlight w:val="auto"/>
              </w:rPr>
            </w:pPr>
            <w:r>
              <w:rPr>
                <w:rFonts w:ascii="宋体" w:eastAsia="宋体" w:cs="宋体" w:hint="eastAsia"/>
                <w:color w:val="auto"/>
                <w:kern w:val="0"/>
                <w:sz w:val="21"/>
                <w:szCs w:val="21"/>
                <w:lang w:val="en-US" w:eastAsia="zh-CN"/>
                <w:highlight w:val="auto"/>
              </w:rPr>
              <w:t>含管件</w:t>
            </w:r>
          </w:p>
        </w:tc>
      </w:tr>
      <w:tr>
        <w:trPr>
          <w:trHeight w:val="607"/>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33</w:t>
            </w:r>
          </w:p>
        </w:tc>
        <w:tc>
          <w:tcPr>
            <w:tcW w:w="1663" w:type="dxa"/>
            <w:vMerge w:val="restart"/>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移装费用</w:t>
            </w: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空气能、太阳能（家用）</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套</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r>
              <w:rPr>
                <w:rFonts w:ascii="宋体" w:eastAsia="宋体" w:cs="宋体" w:hint="eastAsia"/>
                <w:color w:val="auto"/>
                <w:kern w:val="0"/>
                <w:sz w:val="28"/>
                <w:szCs w:val="28"/>
                <w:lang w:val="en-US" w:eastAsia="zh-CN"/>
                <w:highlight w:val="auto"/>
              </w:rPr>
              <w:t>1500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highlight w:val="auto"/>
              </w:rPr>
            </w:pPr>
          </w:p>
        </w:tc>
      </w:tr>
      <w:tr>
        <w:trPr>
          <w:trHeight w:val="628"/>
        </w:trPr>
        <w:tc>
          <w:tcPr>
            <w:tcW w:w="8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lang w:val="en-US" w:eastAsia="zh-CN"/>
                <w:highlight w:val="auto"/>
              </w:rPr>
            </w:pPr>
            <w:r>
              <w:rPr>
                <w:rFonts w:ascii="宋体" w:eastAsia="宋体" w:cs="宋体" w:hint="eastAsia"/>
                <w:color w:val="auto"/>
                <w:kern w:val="0"/>
                <w:sz w:val="28"/>
                <w:szCs w:val="28"/>
                <w:lang w:val="en-US" w:eastAsia="zh-CN"/>
                <w:highlight w:val="auto"/>
              </w:rPr>
              <w:t>34</w:t>
            </w:r>
          </w:p>
        </w:tc>
        <w:tc>
          <w:tcPr>
            <w:tcW w:w="1663" w:type="dxa"/>
            <w:vMerge/>
            <w:tcBorders>
              <w:top w:val="single" w:sz="4" w:space="0" w:color="auto"/>
              <w:left w:val="single" w:sz="4" w:space="0" w:color="auto"/>
              <w:bottom w:val="single" w:sz="4" w:space="0" w:color="auto"/>
              <w:right w:val="single" w:sz="4" w:space="0" w:color="auto"/>
            </w:tcBorders>
            <w:noWrap/>
            <w:vAlign w:val="center"/>
          </w:tcPr>
          <w:p/>
        </w:tc>
        <w:tc>
          <w:tcPr>
            <w:tcW w:w="396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lang w:val="en-US" w:eastAsia="zh-CN"/>
                <w:highlight w:val="auto"/>
              </w:rPr>
            </w:pPr>
            <w:r>
              <w:rPr>
                <w:rFonts w:ascii="宋体" w:eastAsia="宋体" w:cs="宋体" w:hint="eastAsia"/>
                <w:color w:val="auto"/>
                <w:kern w:val="0"/>
                <w:sz w:val="28"/>
                <w:szCs w:val="28"/>
                <w:lang w:val="en-US" w:eastAsia="zh-CN"/>
                <w:highlight w:val="auto"/>
              </w:rPr>
              <w:t>空调</w:t>
            </w:r>
          </w:p>
        </w:tc>
        <w:tc>
          <w:tcPr>
            <w:tcW w:w="7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lang w:val="en-US" w:eastAsia="zh-CN"/>
                <w:highlight w:val="auto"/>
              </w:rPr>
            </w:pPr>
            <w:r>
              <w:rPr>
                <w:rFonts w:ascii="宋体" w:eastAsia="宋体" w:cs="宋体" w:hint="eastAsia"/>
                <w:color w:val="auto"/>
                <w:kern w:val="0"/>
                <w:sz w:val="28"/>
                <w:szCs w:val="28"/>
                <w:lang w:val="en-US" w:eastAsia="zh-CN"/>
                <w:highlight w:val="auto"/>
              </w:rPr>
              <w:t>台</w:t>
            </w:r>
          </w:p>
        </w:tc>
        <w:tc>
          <w:tcPr>
            <w:tcW w:w="10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lang w:val="en-US" w:eastAsia="zh-CN"/>
                <w:highlight w:val="auto"/>
              </w:rPr>
            </w:pPr>
            <w:r>
              <w:rPr>
                <w:rFonts w:ascii="宋体" w:eastAsia="宋体" w:cs="宋体" w:hint="eastAsia"/>
                <w:color w:val="auto"/>
                <w:kern w:val="0"/>
                <w:sz w:val="28"/>
                <w:szCs w:val="28"/>
                <w:lang w:val="en-US" w:eastAsia="zh-CN"/>
                <w:highlight w:val="auto"/>
              </w:rPr>
              <w:t>500</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val="0"/>
              <w:autoSpaceDN w:val="0"/>
              <w:bidi w:val="0"/>
              <w:adjustRightInd w:val="0"/>
              <w:snapToGrid/>
              <w:spacing w:line="400" w:lineRule="exact"/>
              <w:jc w:val="center"/>
              <w:textAlignment w:val="auto"/>
              <w:rPr>
                <w:rFonts w:ascii="宋体" w:eastAsia="宋体" w:cs="宋体" w:hint="eastAsia"/>
                <w:color w:val="auto"/>
                <w:kern w:val="0"/>
                <w:sz w:val="28"/>
                <w:szCs w:val="28"/>
                <w:lang w:val="en-US" w:eastAsia="zh-CN"/>
                <w:highlight w:val="auto"/>
              </w:rPr>
            </w:pPr>
          </w:p>
        </w:tc>
      </w:tr>
    </w:tbl>
    <w:p>
      <w:pPr>
        <w:shd w:val="clear" w:color="auto" w:fill="auto"/>
        <w:autoSpaceDE w:val="0"/>
        <w:autoSpaceDN w:val="0"/>
        <w:adjustRightInd w:val="0"/>
        <w:spacing w:line="600" w:lineRule="exact"/>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备注：1.此标准为构筑物及附属设施重置价格补偿；</w:t>
      </w:r>
    </w:p>
    <w:p>
      <w:pPr>
        <w:numPr>
          <w:ilvl w:val="0"/>
          <w:numId w:val="7"/>
        </w:numPr>
        <w:shd w:val="clear" w:color="auto" w:fill="auto"/>
        <w:autoSpaceDE w:val="0"/>
        <w:autoSpaceDN w:val="0"/>
        <w:adjustRightInd w:val="0"/>
        <w:spacing w:line="600" w:lineRule="exact"/>
        <w:ind w:left="0" w:firstLine="0"/>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对于此标准未覆盖项目，应根据具体情况由有资质的机构评估并报批后确定。</w:t>
      </w:r>
    </w:p>
    <w:p>
      <w:pPr>
        <w:numPr>
          <w:ilvl w:val="0"/>
          <w:numId w:val="5"/>
        </w:numPr>
        <w:shd w:val="clear" w:color="auto" w:fill="auto"/>
        <w:autoSpaceDE w:val="0"/>
        <w:autoSpaceDN w:val="0"/>
        <w:adjustRightInd w:val="0"/>
        <w:spacing w:before="0" w:line="600" w:lineRule="exact"/>
        <w:ind w:left="0" w:firstLine="0"/>
        <w:rPr>
          <w:rFonts w:ascii="宋体" w:eastAsia="宋体" w:cs="宋体" w:hint="eastAsia"/>
          <w:b/>
          <w:bCs/>
          <w:color w:val="auto"/>
          <w:kern w:val="0"/>
          <w:sz w:val="32"/>
          <w:szCs w:val="32"/>
          <w:highlight w:val="auto"/>
        </w:rPr>
      </w:pPr>
      <w:r>
        <w:rPr>
          <w:rFonts w:ascii="宋体" w:eastAsia="宋体" w:cs="宋体" w:hint="eastAsia"/>
          <w:b/>
          <w:bCs/>
          <w:color w:val="auto"/>
          <w:kern w:val="0"/>
          <w:sz w:val="32"/>
          <w:szCs w:val="32"/>
          <w:highlight w:val="auto"/>
        </w:rPr>
        <w:t>室内外装修装饰补偿参考标准</w:t>
      </w:r>
    </w:p>
    <w:tbl>
      <w:tblPr>
        <w:jc w:val="left"/>
        <w:tblInd w:w="0" w:type="dxa"/>
        <w:tblW w:w="4958" w:type="pct"/>
        <w:tblBorders>
          <w:top w:val="none" w:sz="0" w:space="0" w:color="auto"/>
          <w:left w:val="none" w:sz="0" w:space="0" w:color="auto"/>
          <w:bottom w:val="none" w:sz="0" w:space="0" w:color="auto"/>
          <w:right w:val="none" w:sz="0" w:space="0" w:color="auto"/>
        </w:tblBorders>
        <w:shd w:val="clear" w:color="auto" w:fill="auto"/>
        <w:tblCellMar>
          <w:top w:w="0" w:type="dxa"/>
          <w:left w:w="108" w:type="dxa"/>
          <w:bottom w:w="0" w:type="dxa"/>
          <w:right w:w="108" w:type="dxa"/>
        </w:tblCellMar>
      </w:tblPr>
      <w:tblGrid>
        <w:gridCol w:w="942"/>
        <w:gridCol w:w="4056"/>
        <w:gridCol w:w="976"/>
        <w:gridCol w:w="1768"/>
        <w:gridCol w:w="1240"/>
      </w:tblGrid>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b/>
                <w:bCs/>
                <w:i w:val="0"/>
                <w:iCs w:val="0"/>
                <w:color w:val="auto"/>
                <w:sz w:val="28"/>
                <w:szCs w:val="28"/>
                <w:u w:val="none"/>
                <w:highlight w:val="auto"/>
              </w:rPr>
            </w:pPr>
            <w:r>
              <w:rPr>
                <w:rFonts w:ascii="宋体" w:eastAsia="宋体" w:cs="宋体" w:hint="eastAsia"/>
                <w:b/>
                <w:bCs/>
                <w:i w:val="0"/>
                <w:iCs w:val="0"/>
                <w:color w:val="auto"/>
                <w:kern w:val="0"/>
                <w:sz w:val="28"/>
                <w:szCs w:val="28"/>
                <w:u w:val="none"/>
                <w:lang w:val="en-US" w:eastAsia="zh-CN"/>
                <w:highlight w:val="auto"/>
              </w:rPr>
              <w:t>序号</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b/>
                <w:bCs/>
                <w:i w:val="0"/>
                <w:iCs w:val="0"/>
                <w:color w:val="auto"/>
                <w:sz w:val="28"/>
                <w:szCs w:val="28"/>
                <w:u w:val="none"/>
                <w:highlight w:val="auto"/>
              </w:rPr>
            </w:pPr>
            <w:r>
              <w:rPr>
                <w:rFonts w:ascii="宋体" w:eastAsia="宋体" w:cs="宋体" w:hint="eastAsia"/>
                <w:b/>
                <w:bCs/>
                <w:i w:val="0"/>
                <w:iCs w:val="0"/>
                <w:color w:val="auto"/>
                <w:kern w:val="0"/>
                <w:sz w:val="28"/>
                <w:szCs w:val="28"/>
                <w:u w:val="none"/>
                <w:lang w:val="en-US" w:eastAsia="zh-CN"/>
                <w:highlight w:val="auto"/>
              </w:rPr>
              <w:t>项目名称（住宅）</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b/>
                <w:bCs/>
                <w:i w:val="0"/>
                <w:iCs w:val="0"/>
                <w:color w:val="auto"/>
                <w:sz w:val="28"/>
                <w:szCs w:val="28"/>
                <w:u w:val="none"/>
                <w:highlight w:val="auto"/>
              </w:rPr>
            </w:pPr>
            <w:r>
              <w:rPr>
                <w:rFonts w:ascii="宋体" w:eastAsia="宋体" w:cs="宋体" w:hint="eastAsia"/>
                <w:b/>
                <w:bCs/>
                <w:i w:val="0"/>
                <w:iCs w:val="0"/>
                <w:color w:val="auto"/>
                <w:kern w:val="0"/>
                <w:sz w:val="28"/>
                <w:szCs w:val="28"/>
                <w:u w:val="none"/>
                <w:lang w:val="en-US" w:eastAsia="zh-CN"/>
                <w:highlight w:val="auto"/>
              </w:rPr>
              <w:t>单位</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b/>
                <w:bCs/>
                <w:i w:val="0"/>
                <w:iCs w:val="0"/>
                <w:color w:val="auto"/>
                <w:sz w:val="28"/>
                <w:szCs w:val="28"/>
                <w:u w:val="none"/>
                <w:highlight w:val="auto"/>
              </w:rPr>
            </w:pPr>
            <w:r>
              <w:rPr>
                <w:rFonts w:ascii="宋体" w:eastAsia="宋体" w:cs="宋体" w:hint="eastAsia"/>
                <w:b/>
                <w:bCs/>
                <w:i w:val="0"/>
                <w:iCs w:val="0"/>
                <w:color w:val="auto"/>
                <w:kern w:val="0"/>
                <w:sz w:val="28"/>
                <w:szCs w:val="28"/>
                <w:u w:val="none"/>
                <w:lang w:val="en-US" w:eastAsia="zh-CN"/>
                <w:highlight w:val="auto"/>
              </w:rPr>
              <w:t>单价（元）</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b/>
                <w:bCs/>
                <w:i w:val="0"/>
                <w:iCs w:val="0"/>
                <w:color w:val="auto"/>
                <w:sz w:val="28"/>
                <w:szCs w:val="28"/>
                <w:u w:val="none"/>
                <w:highlight w:val="auto"/>
              </w:rPr>
            </w:pPr>
            <w:r>
              <w:rPr>
                <w:rFonts w:ascii="宋体" w:eastAsia="宋体" w:cs="宋体" w:hint="eastAsia"/>
                <w:b/>
                <w:bCs/>
                <w:i w:val="0"/>
                <w:iCs w:val="0"/>
                <w:color w:val="auto"/>
                <w:kern w:val="0"/>
                <w:sz w:val="28"/>
                <w:szCs w:val="28"/>
                <w:u w:val="none"/>
                <w:lang w:val="en-US" w:eastAsia="zh-CN"/>
                <w:highlight w:val="auto"/>
              </w:rPr>
              <w:t>备注</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马赛克瓷片（外墙）</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外墙瓷片</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130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地面瓷片</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120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4</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上墙瓷片</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130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梯级砖</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150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6</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大理石地板（普通）</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180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7</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大理石地板（豪华）</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250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8</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地脚线</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9</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大门红（瓷片）</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套</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lang w:val="en-US"/>
                <w:highlight w:val="auto"/>
              </w:rPr>
            </w:pPr>
            <w:r>
              <w:rPr>
                <w:rFonts w:ascii="宋体" w:eastAsia="宋体" w:cs="宋体" w:hint="eastAsia"/>
                <w:i w:val="0"/>
                <w:iCs w:val="0"/>
                <w:color w:val="auto"/>
                <w:kern w:val="0"/>
                <w:sz w:val="28"/>
                <w:szCs w:val="28"/>
                <w:u w:val="none"/>
                <w:lang w:val="en-US" w:eastAsia="zh-CN"/>
                <w:highlight w:val="auto"/>
              </w:rPr>
              <w:t>1000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10</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大门红（大理石）</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套</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lang w:val="en-US"/>
                <w:highlight w:val="auto"/>
              </w:rPr>
            </w:pPr>
            <w:r>
              <w:rPr>
                <w:rFonts w:ascii="宋体" w:eastAsia="宋体" w:cs="宋体" w:hint="eastAsia"/>
                <w:i w:val="0"/>
                <w:iCs w:val="0"/>
                <w:color w:val="auto"/>
                <w:kern w:val="0"/>
                <w:sz w:val="28"/>
                <w:szCs w:val="28"/>
                <w:u w:val="none"/>
                <w:lang w:val="en-US" w:eastAsia="zh-CN"/>
                <w:highlight w:val="auto"/>
              </w:rPr>
              <w:t>2000-3500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11</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复合地板</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180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12</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实木地板</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250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13</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普通不锈钢门（未封）</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14</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普通不锈钢门（半封）</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400-700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15</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防盗门（单面全封豪华不锈钢）</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1300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16</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防盗门（双面全封豪华不锈钢）</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2000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17</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普通铁门</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18</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铁艺门</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500-800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19</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普通木门</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樘</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1000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20</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豪华木门</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樘</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2500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21</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普通夹板门</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套</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lang w:val="en-US"/>
                <w:highlight w:val="auto"/>
              </w:rPr>
            </w:pPr>
            <w:r>
              <w:rPr>
                <w:rFonts w:ascii="宋体" w:eastAsia="宋体" w:cs="宋体" w:hint="eastAsia"/>
                <w:i w:val="0"/>
                <w:iCs w:val="0"/>
                <w:color w:val="auto"/>
                <w:kern w:val="0"/>
                <w:sz w:val="28"/>
                <w:szCs w:val="28"/>
                <w:u w:val="none"/>
                <w:lang w:val="en-US" w:eastAsia="zh-CN"/>
                <w:highlight w:val="auto"/>
              </w:rPr>
              <w:t>350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22</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夹板木门</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套</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lang w:val="en-US"/>
                <w:highlight w:val="auto"/>
              </w:rPr>
            </w:pPr>
            <w:r>
              <w:rPr>
                <w:rFonts w:ascii="宋体" w:eastAsia="宋体" w:cs="宋体" w:hint="eastAsia"/>
                <w:i w:val="0"/>
                <w:iCs w:val="0"/>
                <w:color w:val="auto"/>
                <w:kern w:val="0"/>
                <w:sz w:val="28"/>
                <w:szCs w:val="28"/>
                <w:u w:val="none"/>
                <w:lang w:val="en-US" w:eastAsia="zh-CN"/>
                <w:highlight w:val="auto"/>
              </w:rPr>
              <w:t>500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23</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铝合金卷闸门（手动）</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lang w:val="en-US"/>
                <w:highlight w:val="auto"/>
              </w:rPr>
            </w:pPr>
            <w:r>
              <w:rPr>
                <w:rFonts w:ascii="宋体" w:eastAsia="宋体" w:cs="宋体" w:hint="eastAsia"/>
                <w:i w:val="0"/>
                <w:iCs w:val="0"/>
                <w:color w:val="auto"/>
                <w:kern w:val="0"/>
                <w:sz w:val="28"/>
                <w:szCs w:val="28"/>
                <w:u w:val="none"/>
                <w:lang w:val="en-US" w:eastAsia="zh-CN"/>
                <w:highlight w:val="auto"/>
              </w:rPr>
              <w:t>200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24</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铝合金卷闸门（电动）</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lang w:val="en-US"/>
                <w:highlight w:val="auto"/>
              </w:rPr>
            </w:pPr>
            <w:r>
              <w:rPr>
                <w:rFonts w:ascii="宋体" w:eastAsia="宋体" w:cs="宋体" w:hint="eastAsia"/>
                <w:i w:val="0"/>
                <w:iCs w:val="0"/>
                <w:color w:val="auto"/>
                <w:kern w:val="0"/>
                <w:sz w:val="28"/>
                <w:szCs w:val="28"/>
                <w:u w:val="none"/>
                <w:lang w:val="en-US" w:eastAsia="zh-CN"/>
                <w:highlight w:val="auto"/>
              </w:rPr>
              <w:t>300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25</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玻璃推拉门</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lang w:val="en-US"/>
                <w:highlight w:val="auto"/>
              </w:rPr>
            </w:pPr>
            <w:r>
              <w:rPr>
                <w:rFonts w:ascii="宋体" w:eastAsia="宋体" w:cs="宋体" w:hint="eastAsia"/>
                <w:i w:val="0"/>
                <w:iCs w:val="0"/>
                <w:color w:val="auto"/>
                <w:kern w:val="0"/>
                <w:sz w:val="28"/>
                <w:szCs w:val="28"/>
                <w:u w:val="none"/>
                <w:lang w:val="en-US" w:eastAsia="zh-CN"/>
                <w:highlight w:val="auto"/>
              </w:rPr>
              <w:t>400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26</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铝合金推拉门</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lang w:val="en-US"/>
                <w:highlight w:val="auto"/>
              </w:rPr>
            </w:pPr>
            <w:r>
              <w:rPr>
                <w:rFonts w:ascii="宋体" w:eastAsia="宋体" w:cs="宋体" w:hint="eastAsia"/>
                <w:i w:val="0"/>
                <w:iCs w:val="0"/>
                <w:color w:val="auto"/>
                <w:kern w:val="0"/>
                <w:sz w:val="28"/>
                <w:szCs w:val="28"/>
                <w:u w:val="none"/>
                <w:lang w:val="en-US" w:eastAsia="zh-CN"/>
                <w:highlight w:val="auto"/>
              </w:rPr>
              <w:t>250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27</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卫生间铝合金门</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套</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800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28</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卫生间塑钢门</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套</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600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29</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塑钢门</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套</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750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30</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不锈钢扶手</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31</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铁扶手</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150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32</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不锈钢护栏</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150-260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33</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铁艺护栏</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200-500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34</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铝合金窗</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230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35</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窗纱</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36</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不锈钢防盗网</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160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37</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铁丝网</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15</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38</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墙胶</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39</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墙漆（ICI）</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40</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石膏板吊顶</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130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41</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铝扣板吊顶</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42</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石膏线条</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43</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壁柜</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44</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蹲厕（不含水箱，已安装）</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套</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280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45</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蹲厕（含水箱，已安装）</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套</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46</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坐厕（含水箱，已安装）</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套</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800-2000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47</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大理石洗手台</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台</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800-1500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48</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水泥涵管（DN260）</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180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49</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水泥涵管（DN300）</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210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50</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水泥涵管（DN500）</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380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51</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水泥涵管（DN1500）</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2000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52</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户外水管DN15(PVC)4分管</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53</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户外水管DN20(PVC)6分管</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15</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54</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户外水管Φ25mm(PVC)1寸管</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55</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户外水管Φ32mm(PVC)1.2寸管</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25</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56</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户外水管Φ40mm(PVC)1.5寸管</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57</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户外水管Φ50mm(PVC)2寸管</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35</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58</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户外水管Φ63mm(PVC)2.5寸管</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40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59</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户外水管Φ75mm(PVC)3寸管</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45</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60</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户外水管Φ90mm(PVC)3.5寸管</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61</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户外水管Φ110mm(PVC)4寸管</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60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62</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户外水管Φ160mm(PVC)6寸管</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100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63</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排水管Φ50mm(PVC)</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35</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64</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排水管Φ63mm(PVC)</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38</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65</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排水管Φ75mm(PVC)</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40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66</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排水管Φ90mm(PVC)</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67</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排水管Φ110mm(PVC)</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60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68</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排水管Φ160mm(PVC)</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100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69</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排水管Φ200mm(PVC)</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150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70</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排水管Φ300mm(PVC)</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230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71</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户外水管Φ25mm（PPR）</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28</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72</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户外水管Φ32mm（PPR）</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73</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户外水管Φ40mm（PPR）</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35</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74</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户外水管Φ50mm（PPR）</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40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75</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户外水管Φ63mm（PPR）</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76</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户外水管Φ75mm（PPR）</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55</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77</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户外水管Φ90mm（PPR）</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70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78</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户外水管Φ110mm（PPR）</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80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79</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户外水管Φ160mm（PPR）</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150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80</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户外水管Φ200mm（PPR）</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180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81</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户外水管Φ25mm(PE)</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25</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82</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户外水管Φ32mm(PE)</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28</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83</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户外水管Φ40mm(PE)</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32</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84</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户外水管Φ50mm(PE)</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38</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85</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户外水管Φ63mm(PE)</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45</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86</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户外水管Φ75mm(PE)</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87</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户外水管Φ90mm(PE)</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60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88</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户外水管Φ110mm(PE)</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75</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89</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排水管Φ90mm(PE)</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55</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90</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排水管Φ110mm(PE)</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75</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91</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排水管Φ160mm(PE)</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130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92</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排水管Φ200mm(PE)</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165</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93</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排水管Φ300mm(PE)</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260</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1"/>
                <w:szCs w:val="21"/>
                <w:u w:val="none"/>
                <w:highlight w:val="auto"/>
              </w:rPr>
            </w:pPr>
            <w:r>
              <w:rPr>
                <w:rFonts w:ascii="宋体" w:eastAsia="宋体" w:cs="宋体" w:hint="eastAsia"/>
                <w:i w:val="0"/>
                <w:iCs w:val="0"/>
                <w:color w:val="auto"/>
                <w:kern w:val="0"/>
                <w:sz w:val="21"/>
                <w:szCs w:val="21"/>
                <w:u w:val="none"/>
                <w:lang w:val="en-US" w:eastAsia="zh-CN"/>
                <w:highlight w:val="auto"/>
              </w:rPr>
              <w:t>含管件</w:t>
            </w: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94</w:t>
            </w:r>
          </w:p>
        </w:tc>
        <w:tc>
          <w:tcPr>
            <w:tcW w:w="2257"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遮光网、塑料网</w:t>
            </w:r>
          </w:p>
        </w:tc>
        <w:tc>
          <w:tcPr>
            <w:tcW w:w="54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8</w:t>
            </w:r>
          </w:p>
        </w:tc>
        <w:tc>
          <w:tcPr>
            <w:tcW w:w="69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shd w:val="clear" w:color="auto" w:fill="auto"/>
              <w:spacing w:line="240" w:lineRule="auto"/>
              <w:jc w:val="center"/>
              <w:rPr>
                <w:rFonts w:ascii="宋体" w:eastAsia="宋体" w:cs="宋体" w:hint="eastAsia"/>
                <w:i w:val="0"/>
                <w:iCs w:val="0"/>
                <w:color w:val="auto"/>
                <w:sz w:val="21"/>
                <w:szCs w:val="21"/>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95</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铁围栏</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80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96</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房屋水、电补助（明线）</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97</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房屋水、电补助（线槽）</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80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98</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房屋水、电补助（暗线）</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120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99</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不锈钢水塔（2T）</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个</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2000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100</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窗帘</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50-200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101</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铁防盗网</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102</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水泥桥</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103</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铁广告牌</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150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104</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户外电线</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4</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105</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半砖铁皮棚</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250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106</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超高铁皮棚（6m以内）</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250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107</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铁皮棚（四周围铁皮）</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250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108</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红砖门柱（高2米以内）</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条</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1000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109</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红砖门柱（高2米至3米内）</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条</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1500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110</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kern w:val="2"/>
                <w:sz w:val="28"/>
                <w:szCs w:val="28"/>
                <w:u w:val="none"/>
                <w:lang w:val="en-US" w:eastAsia="zh-CN" w:bidi="ar-SA"/>
                <w:highlight w:val="auto"/>
              </w:rPr>
            </w:pPr>
            <w:r>
              <w:rPr>
                <w:rFonts w:ascii="宋体" w:eastAsia="宋体" w:cs="宋体" w:hint="eastAsia"/>
                <w:i w:val="0"/>
                <w:iCs w:val="0"/>
                <w:color w:val="auto"/>
                <w:kern w:val="0"/>
                <w:sz w:val="28"/>
                <w:szCs w:val="28"/>
                <w:u w:val="none"/>
                <w:lang w:val="en-US" w:eastAsia="zh-CN"/>
                <w:highlight w:val="auto"/>
              </w:rPr>
              <w:t>路灯（有杆）7米以上</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kern w:val="2"/>
                <w:sz w:val="28"/>
                <w:szCs w:val="28"/>
                <w:u w:val="none"/>
                <w:lang w:val="en-US" w:eastAsia="zh-CN" w:bidi="ar-SA"/>
                <w:highlight w:val="auto"/>
              </w:rPr>
            </w:pPr>
            <w:r>
              <w:rPr>
                <w:rFonts w:ascii="宋体" w:eastAsia="宋体" w:cs="宋体" w:hint="eastAsia"/>
                <w:i w:val="0"/>
                <w:iCs w:val="0"/>
                <w:color w:val="auto"/>
                <w:kern w:val="0"/>
                <w:sz w:val="28"/>
                <w:szCs w:val="28"/>
                <w:u w:val="none"/>
                <w:lang w:val="en-US" w:eastAsia="zh-CN"/>
                <w:highlight w:val="auto"/>
              </w:rPr>
              <w:t>盏</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kern w:val="2"/>
                <w:sz w:val="28"/>
                <w:szCs w:val="28"/>
                <w:u w:val="none"/>
                <w:lang w:val="en-US" w:eastAsia="zh-CN" w:bidi="ar-SA"/>
                <w:highlight w:val="auto"/>
              </w:rPr>
            </w:pPr>
            <w:r>
              <w:rPr>
                <w:rFonts w:ascii="宋体" w:eastAsia="宋体" w:cs="宋体" w:hint="eastAsia"/>
                <w:i w:val="0"/>
                <w:iCs w:val="0"/>
                <w:color w:val="auto"/>
                <w:kern w:val="0"/>
                <w:sz w:val="28"/>
                <w:szCs w:val="28"/>
                <w:u w:val="none"/>
                <w:lang w:val="en-US" w:eastAsia="zh-CN"/>
                <w:highlight w:val="auto"/>
              </w:rPr>
              <w:t>2500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111</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i w:val="0"/>
                <w:iCs w:val="0"/>
                <w:color w:val="auto"/>
                <w:kern w:val="2"/>
                <w:sz w:val="28"/>
                <w:szCs w:val="28"/>
                <w:u w:val="none"/>
                <w:lang w:val="en-US" w:eastAsia="zh-CN" w:bidi="ar-SA"/>
                <w:highlight w:val="auto"/>
              </w:rPr>
            </w:pPr>
            <w:r>
              <w:rPr>
                <w:rFonts w:ascii="宋体" w:eastAsia="宋体" w:cs="宋体" w:hint="eastAsia"/>
                <w:i w:val="0"/>
                <w:iCs w:val="0"/>
                <w:color w:val="auto"/>
                <w:kern w:val="0"/>
                <w:sz w:val="28"/>
                <w:szCs w:val="28"/>
                <w:u w:val="none"/>
                <w:lang w:val="en-US" w:eastAsia="zh-CN"/>
                <w:highlight w:val="auto"/>
              </w:rPr>
              <w:t>路灯（有杆）5-7米</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kern w:val="2"/>
                <w:sz w:val="28"/>
                <w:szCs w:val="28"/>
                <w:u w:val="none"/>
                <w:lang w:val="en-US" w:eastAsia="zh-CN" w:bidi="ar-SA"/>
                <w:highlight w:val="auto"/>
              </w:rPr>
            </w:pPr>
            <w:r>
              <w:rPr>
                <w:rFonts w:ascii="宋体" w:eastAsia="宋体" w:cs="宋体" w:hint="eastAsia"/>
                <w:i w:val="0"/>
                <w:iCs w:val="0"/>
                <w:color w:val="auto"/>
                <w:kern w:val="0"/>
                <w:sz w:val="28"/>
                <w:szCs w:val="28"/>
                <w:u w:val="none"/>
                <w:lang w:val="en-US" w:eastAsia="zh-CN"/>
                <w:highlight w:val="auto"/>
              </w:rPr>
              <w:t>盏</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kern w:val="2"/>
                <w:sz w:val="28"/>
                <w:szCs w:val="28"/>
                <w:u w:val="none"/>
                <w:lang w:val="en-US" w:eastAsia="zh-CN" w:bidi="ar-SA"/>
                <w:highlight w:val="auto"/>
              </w:rPr>
            </w:pPr>
            <w:r>
              <w:rPr>
                <w:rFonts w:ascii="宋体" w:eastAsia="宋体" w:cs="宋体" w:hint="eastAsia"/>
                <w:i w:val="0"/>
                <w:iCs w:val="0"/>
                <w:color w:val="auto"/>
                <w:kern w:val="0"/>
                <w:sz w:val="28"/>
                <w:szCs w:val="28"/>
                <w:u w:val="none"/>
                <w:lang w:val="en-US" w:eastAsia="zh-CN"/>
                <w:highlight w:val="auto"/>
              </w:rPr>
              <w:t>1500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kern w:val="2"/>
                <w:sz w:val="28"/>
                <w:szCs w:val="28"/>
                <w:u w:val="none"/>
                <w:lang w:val="en-US" w:eastAsia="zh-CN" w:bidi="ar-SA"/>
                <w:highlight w:val="auto"/>
              </w:rPr>
            </w:pPr>
            <w:r>
              <w:rPr>
                <w:rFonts w:ascii="宋体" w:eastAsia="宋体" w:cs="宋体" w:hint="eastAsia"/>
                <w:i w:val="0"/>
                <w:iCs w:val="0"/>
                <w:color w:val="auto"/>
                <w:kern w:val="0"/>
                <w:sz w:val="28"/>
                <w:szCs w:val="28"/>
                <w:u w:val="none"/>
                <w:lang w:val="en-US" w:eastAsia="zh-CN"/>
                <w:highlight w:val="auto"/>
              </w:rPr>
              <w:t>112</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i w:val="0"/>
                <w:iCs w:val="0"/>
                <w:color w:val="auto"/>
                <w:kern w:val="0"/>
                <w:sz w:val="28"/>
                <w:szCs w:val="28"/>
                <w:u w:val="none"/>
                <w:lang w:val="en-US" w:eastAsia="zh-CN" w:bidi="ar-SA"/>
                <w:highlight w:val="auto"/>
              </w:rPr>
            </w:pPr>
            <w:r>
              <w:rPr>
                <w:rFonts w:ascii="宋体" w:eastAsia="宋体" w:cs="宋体" w:hint="eastAsia"/>
                <w:i w:val="0"/>
                <w:iCs w:val="0"/>
                <w:color w:val="auto"/>
                <w:kern w:val="0"/>
                <w:sz w:val="28"/>
                <w:szCs w:val="28"/>
                <w:u w:val="none"/>
                <w:lang w:val="en-US" w:eastAsia="zh-CN"/>
                <w:highlight w:val="auto"/>
              </w:rPr>
              <w:t>路灯（有杆）5米以下</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kern w:val="0"/>
                <w:sz w:val="28"/>
                <w:szCs w:val="28"/>
                <w:u w:val="none"/>
                <w:lang w:val="en-US" w:eastAsia="zh-CN" w:bidi="ar-SA"/>
                <w:highlight w:val="auto"/>
              </w:rPr>
            </w:pPr>
            <w:r>
              <w:rPr>
                <w:rFonts w:ascii="宋体" w:eastAsia="宋体" w:cs="宋体" w:hint="eastAsia"/>
                <w:i w:val="0"/>
                <w:iCs w:val="0"/>
                <w:color w:val="auto"/>
                <w:kern w:val="0"/>
                <w:sz w:val="28"/>
                <w:szCs w:val="28"/>
                <w:u w:val="none"/>
                <w:lang w:val="en-US" w:eastAsia="zh-CN"/>
                <w:highlight w:val="auto"/>
              </w:rPr>
              <w:t>盏</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kern w:val="0"/>
                <w:sz w:val="28"/>
                <w:szCs w:val="28"/>
                <w:u w:val="none"/>
                <w:lang w:val="en-US" w:eastAsia="zh-CN" w:bidi="ar-SA"/>
                <w:highlight w:val="auto"/>
              </w:rPr>
            </w:pPr>
            <w:r>
              <w:rPr>
                <w:rFonts w:ascii="宋体" w:eastAsia="宋体" w:cs="宋体" w:hint="eastAsia"/>
                <w:i w:val="0"/>
                <w:iCs w:val="0"/>
                <w:color w:val="auto"/>
                <w:kern w:val="0"/>
                <w:sz w:val="28"/>
                <w:szCs w:val="28"/>
                <w:u w:val="none"/>
                <w:lang w:val="en-US" w:eastAsia="zh-CN"/>
                <w:highlight w:val="auto"/>
              </w:rPr>
              <w:t>1000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kern w:val="2"/>
                <w:sz w:val="28"/>
                <w:szCs w:val="28"/>
                <w:u w:val="none"/>
                <w:lang w:val="en-US" w:eastAsia="zh-CN" w:bidi="ar-SA"/>
                <w:highlight w:val="auto"/>
              </w:rPr>
            </w:pPr>
            <w:r>
              <w:rPr>
                <w:rFonts w:ascii="宋体" w:eastAsia="宋体" w:cs="宋体" w:hint="eastAsia"/>
                <w:i w:val="0"/>
                <w:iCs w:val="0"/>
                <w:color w:val="auto"/>
                <w:kern w:val="0"/>
                <w:sz w:val="28"/>
                <w:szCs w:val="28"/>
                <w:u w:val="none"/>
                <w:lang w:val="en-US" w:eastAsia="zh-CN"/>
                <w:highlight w:val="auto"/>
              </w:rPr>
              <w:t>113</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kern w:val="2"/>
                <w:sz w:val="28"/>
                <w:szCs w:val="28"/>
                <w:u w:val="none"/>
                <w:lang w:val="en-US" w:eastAsia="zh-CN" w:bidi="ar-SA"/>
                <w:highlight w:val="auto"/>
              </w:rPr>
            </w:pPr>
            <w:r>
              <w:rPr>
                <w:rFonts w:ascii="宋体" w:eastAsia="宋体" w:cs="宋体" w:hint="eastAsia"/>
                <w:i w:val="0"/>
                <w:iCs w:val="0"/>
                <w:color w:val="auto"/>
                <w:kern w:val="0"/>
                <w:sz w:val="28"/>
                <w:szCs w:val="28"/>
                <w:u w:val="none"/>
                <w:lang w:val="en-US" w:eastAsia="zh-CN"/>
                <w:highlight w:val="auto"/>
              </w:rPr>
              <w:t>路灯（无杆）</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kern w:val="2"/>
                <w:sz w:val="28"/>
                <w:szCs w:val="28"/>
                <w:u w:val="none"/>
                <w:lang w:val="en-US" w:eastAsia="zh-CN" w:bidi="ar-SA"/>
                <w:highlight w:val="auto"/>
              </w:rPr>
            </w:pPr>
            <w:r>
              <w:rPr>
                <w:rFonts w:ascii="宋体" w:eastAsia="宋体" w:cs="宋体" w:hint="eastAsia"/>
                <w:i w:val="0"/>
                <w:iCs w:val="0"/>
                <w:color w:val="auto"/>
                <w:kern w:val="0"/>
                <w:sz w:val="28"/>
                <w:szCs w:val="28"/>
                <w:u w:val="none"/>
                <w:lang w:val="en-US" w:eastAsia="zh-CN"/>
                <w:highlight w:val="auto"/>
              </w:rPr>
              <w:t>盏</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i w:val="0"/>
                <w:iCs w:val="0"/>
                <w:color w:val="auto"/>
                <w:kern w:val="2"/>
                <w:sz w:val="28"/>
                <w:szCs w:val="28"/>
                <w:u w:val="none"/>
                <w:lang w:val="en-US" w:eastAsia="zh-CN" w:bidi="ar-SA"/>
                <w:highlight w:val="auto"/>
              </w:rPr>
            </w:pPr>
            <w:r>
              <w:rPr>
                <w:rFonts w:ascii="宋体" w:eastAsia="宋体" w:cs="宋体" w:hint="eastAsia"/>
                <w:i w:val="0"/>
                <w:iCs w:val="0"/>
                <w:color w:val="auto"/>
                <w:kern w:val="0"/>
                <w:sz w:val="28"/>
                <w:szCs w:val="28"/>
                <w:u w:val="none"/>
                <w:lang w:val="en-US" w:eastAsia="zh-CN"/>
                <w:highlight w:val="auto"/>
              </w:rPr>
              <w:t>500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kern w:val="2"/>
                <w:sz w:val="28"/>
                <w:szCs w:val="28"/>
                <w:u w:val="none"/>
                <w:lang w:val="en-US" w:eastAsia="zh-CN" w:bidi="ar-SA"/>
                <w:highlight w:val="auto"/>
              </w:rPr>
            </w:pPr>
            <w:r>
              <w:rPr>
                <w:rFonts w:ascii="宋体" w:eastAsia="宋体" w:cs="宋体" w:hint="eastAsia"/>
                <w:i w:val="0"/>
                <w:iCs w:val="0"/>
                <w:color w:val="auto"/>
                <w:kern w:val="0"/>
                <w:sz w:val="28"/>
                <w:szCs w:val="28"/>
                <w:u w:val="none"/>
                <w:lang w:val="en-US" w:eastAsia="zh-CN"/>
                <w:highlight w:val="auto"/>
              </w:rPr>
              <w:t>114</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绿化砖</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120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kern w:val="2"/>
                <w:sz w:val="28"/>
                <w:szCs w:val="28"/>
                <w:u w:val="none"/>
                <w:lang w:val="en-US" w:eastAsia="zh-CN" w:bidi="ar-SA"/>
                <w:highlight w:val="auto"/>
              </w:rPr>
            </w:pPr>
            <w:r>
              <w:rPr>
                <w:rFonts w:ascii="宋体" w:eastAsia="宋体" w:cs="宋体" w:hint="eastAsia"/>
                <w:i w:val="0"/>
                <w:iCs w:val="0"/>
                <w:color w:val="auto"/>
                <w:kern w:val="0"/>
                <w:sz w:val="28"/>
                <w:szCs w:val="28"/>
                <w:u w:val="none"/>
                <w:lang w:val="en-US" w:eastAsia="zh-CN"/>
                <w:highlight w:val="auto"/>
              </w:rPr>
              <w:t>115</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摄像头</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个</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300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kern w:val="2"/>
                <w:sz w:val="28"/>
                <w:szCs w:val="28"/>
                <w:u w:val="none"/>
                <w:lang w:val="en-US" w:eastAsia="zh-CN" w:bidi="ar-SA"/>
                <w:highlight w:val="auto"/>
              </w:rPr>
            </w:pPr>
            <w:r>
              <w:rPr>
                <w:rFonts w:ascii="宋体" w:eastAsia="宋体" w:cs="宋体" w:hint="eastAsia"/>
                <w:i w:val="0"/>
                <w:iCs w:val="0"/>
                <w:color w:val="auto"/>
                <w:kern w:val="0"/>
                <w:sz w:val="28"/>
                <w:szCs w:val="28"/>
                <w:u w:val="none"/>
                <w:lang w:val="en-US" w:eastAsia="zh-CN"/>
                <w:highlight w:val="auto"/>
              </w:rPr>
              <w:t>116</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户外混合结构楼梯</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750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kern w:val="2"/>
                <w:sz w:val="28"/>
                <w:szCs w:val="28"/>
                <w:u w:val="none"/>
                <w:lang w:val="en-US" w:eastAsia="zh-CN" w:bidi="ar-SA"/>
                <w:highlight w:val="auto"/>
              </w:rPr>
            </w:pPr>
            <w:r>
              <w:rPr>
                <w:rFonts w:ascii="宋体" w:eastAsia="宋体" w:cs="宋体" w:hint="eastAsia"/>
                <w:i w:val="0"/>
                <w:iCs w:val="0"/>
                <w:color w:val="auto"/>
                <w:kern w:val="0"/>
                <w:sz w:val="28"/>
                <w:szCs w:val="28"/>
                <w:u w:val="none"/>
                <w:lang w:val="en-US" w:eastAsia="zh-CN"/>
                <w:highlight w:val="auto"/>
              </w:rPr>
              <w:t>117</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玻璃雨棚</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600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i w:val="0"/>
                <w:iCs w:val="0"/>
                <w:color w:val="auto"/>
                <w:kern w:val="2"/>
                <w:sz w:val="28"/>
                <w:szCs w:val="28"/>
                <w:u w:val="none"/>
                <w:lang w:val="en-US" w:eastAsia="zh-CN" w:bidi="ar-SA"/>
                <w:highlight w:val="auto"/>
              </w:rPr>
            </w:pPr>
            <w:r>
              <w:rPr>
                <w:rFonts w:ascii="宋体" w:eastAsia="宋体" w:cs="宋体" w:hint="eastAsia"/>
                <w:i w:val="0"/>
                <w:iCs w:val="0"/>
                <w:color w:val="auto"/>
                <w:kern w:val="0"/>
                <w:sz w:val="28"/>
                <w:szCs w:val="28"/>
                <w:u w:val="none"/>
                <w:lang w:val="en-US" w:eastAsia="zh-CN"/>
                <w:highlight w:val="auto"/>
              </w:rPr>
              <w:t>118</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绿化带</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m</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180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85"/>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i w:val="0"/>
                <w:iCs w:val="0"/>
                <w:color w:val="auto"/>
                <w:sz w:val="28"/>
                <w:szCs w:val="28"/>
                <w:u w:val="none"/>
                <w:lang w:val="en-US" w:eastAsia="zh-CN"/>
                <w:highlight w:val="auto"/>
              </w:rPr>
            </w:pPr>
            <w:r>
              <w:rPr>
                <w:rFonts w:ascii="宋体" w:eastAsia="宋体" w:cs="宋体" w:hint="eastAsia"/>
                <w:i w:val="0"/>
                <w:iCs w:val="0"/>
                <w:color w:val="auto"/>
                <w:sz w:val="28"/>
                <w:szCs w:val="28"/>
                <w:u w:val="none"/>
                <w:lang w:val="en-US" w:eastAsia="zh-CN"/>
                <w:highlight w:val="auto"/>
              </w:rPr>
              <w:t>119</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铁楼梯</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150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jc w:val="center"/>
              <w:rPr>
                <w:rFonts w:ascii="宋体" w:eastAsia="宋体" w:cs="宋体" w:hint="eastAsia"/>
                <w:i w:val="0"/>
                <w:iCs w:val="0"/>
                <w:color w:val="auto"/>
                <w:sz w:val="28"/>
                <w:szCs w:val="28"/>
                <w:u w:val="none"/>
                <w:highlight w:val="auto"/>
              </w:rPr>
            </w:pPr>
          </w:p>
        </w:tc>
      </w:tr>
      <w:tr>
        <w:trPr>
          <w:trHeight w:val="594"/>
        </w:trPr>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i w:val="0"/>
                <w:iCs w:val="0"/>
                <w:color w:val="auto"/>
                <w:sz w:val="28"/>
                <w:szCs w:val="28"/>
                <w:u w:val="none"/>
                <w:lang w:val="en-US" w:eastAsia="zh-CN"/>
                <w:highlight w:val="auto"/>
              </w:rPr>
            </w:pPr>
            <w:r>
              <w:rPr>
                <w:rFonts w:ascii="宋体" w:eastAsia="宋体" w:cs="宋体" w:hint="eastAsia"/>
                <w:i w:val="0"/>
                <w:iCs w:val="0"/>
                <w:color w:val="auto"/>
                <w:sz w:val="28"/>
                <w:szCs w:val="28"/>
                <w:u w:val="none"/>
                <w:lang w:val="en-US" w:eastAsia="zh-CN"/>
                <w:highlight w:val="auto"/>
              </w:rPr>
              <w:t>120</w:t>
            </w:r>
          </w:p>
        </w:tc>
        <w:tc>
          <w:tcPr>
            <w:tcW w:w="2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透明雨棚</w:t>
            </w:r>
          </w:p>
        </w:tc>
        <w:tc>
          <w:tcPr>
            <w:tcW w:w="5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w:t>
            </w:r>
          </w:p>
        </w:tc>
        <w:tc>
          <w:tcPr>
            <w:tcW w:w="9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shd w:val="clear" w:color="auto" w:fill="auto"/>
              <w:spacing w:line="240" w:lineRule="auto"/>
              <w:jc w:val="center"/>
              <w:textAlignment w:val="center"/>
              <w:rPr>
                <w:rFonts w:ascii="宋体" w:eastAsia="宋体" w:cs="宋体" w:hint="eastAsia"/>
                <w:i w:val="0"/>
                <w:iCs w:val="0"/>
                <w:color w:val="auto"/>
                <w:sz w:val="28"/>
                <w:szCs w:val="28"/>
                <w:u w:val="none"/>
                <w:highlight w:val="auto"/>
              </w:rPr>
            </w:pPr>
            <w:r>
              <w:rPr>
                <w:rFonts w:ascii="宋体" w:eastAsia="宋体" w:cs="宋体" w:hint="eastAsia"/>
                <w:i w:val="0"/>
                <w:iCs w:val="0"/>
                <w:color w:val="auto"/>
                <w:kern w:val="0"/>
                <w:sz w:val="28"/>
                <w:szCs w:val="28"/>
                <w:u w:val="none"/>
                <w:lang w:val="en-US" w:eastAsia="zh-CN"/>
                <w:highlight w:val="auto"/>
              </w:rPr>
              <w:t>250</w:t>
            </w:r>
          </w:p>
        </w:tc>
        <w:tc>
          <w:tcPr>
            <w:tcW w:w="6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shd w:val="clear" w:color="auto" w:fill="auto"/>
              <w:spacing w:line="240" w:lineRule="auto"/>
              <w:rPr>
                <w:rFonts w:ascii="宋体" w:eastAsia="宋体" w:cs="宋体" w:hint="eastAsia"/>
                <w:i w:val="0"/>
                <w:iCs w:val="0"/>
                <w:color w:val="auto"/>
                <w:sz w:val="24"/>
                <w:szCs w:val="24"/>
                <w:u w:val="none"/>
                <w:highlight w:val="auto"/>
              </w:rPr>
            </w:pPr>
          </w:p>
        </w:tc>
      </w:tr>
    </w:tbl>
    <w:p>
      <w:pPr>
        <w:shd w:val="clear" w:color="auto" w:fill="auto"/>
        <w:autoSpaceDE w:val="0"/>
        <w:autoSpaceDN w:val="0"/>
        <w:adjustRightInd w:val="0"/>
        <w:spacing w:line="600" w:lineRule="exact"/>
        <w:rPr>
          <w:rFonts w:ascii="宋体" w:eastAsia="宋体" w:cs="宋体" w:hint="eastAsia"/>
          <w:color w:val="auto"/>
          <w:kern w:val="0"/>
          <w:sz w:val="28"/>
          <w:szCs w:val="28"/>
          <w:highlight w:val="auto"/>
        </w:rPr>
      </w:pPr>
      <w:r>
        <w:rPr>
          <w:rFonts w:ascii="宋体" w:eastAsia="宋体" w:cs="宋体" w:hint="eastAsia"/>
          <w:color w:val="auto"/>
          <w:kern w:val="0"/>
          <w:sz w:val="28"/>
          <w:szCs w:val="28"/>
          <w:highlight w:val="auto"/>
        </w:rPr>
        <w:t>备注：1.此标准为室内外装修装饰重置价格补偿；</w:t>
      </w:r>
    </w:p>
    <w:p>
      <w:pPr>
        <w:numPr>
          <w:ilvl w:val="0"/>
          <w:numId w:val="8"/>
        </w:numPr>
        <w:shd w:val="clear" w:color="auto" w:fill="auto"/>
        <w:autoSpaceDE w:val="0"/>
        <w:autoSpaceDN w:val="0"/>
        <w:adjustRightInd w:val="0"/>
        <w:spacing w:line="600" w:lineRule="exact"/>
        <w:ind w:left="0" w:firstLine="0"/>
        <w:rPr>
          <w:rFonts w:ascii="宋体" w:eastAsia="宋体" w:cs="宋体" w:hint="eastAsia"/>
          <w:color w:val="auto"/>
          <w:sz w:val="28"/>
          <w:szCs w:val="28"/>
          <w:highlight w:val="auto"/>
        </w:rPr>
      </w:pPr>
      <w:r>
        <w:rPr>
          <w:rFonts w:ascii="宋体" w:eastAsia="宋体" w:cs="宋体" w:hint="eastAsia"/>
          <w:color w:val="auto"/>
          <w:kern w:val="0"/>
          <w:sz w:val="28"/>
          <w:szCs w:val="28"/>
          <w:highlight w:val="auto"/>
        </w:rPr>
        <w:t>对于此标准未覆盖项目，应根据具体情况由有资质的机构评估并报批后确定。</w:t>
      </w:r>
    </w:p>
    <w:p>
      <w:pPr>
        <w:adjustRightInd w:val="0"/>
        <w:snapToGrid w:val="0"/>
        <w:spacing w:line="540" w:lineRule="exact"/>
        <w:ind w:left="0" w:firstLine="0"/>
        <w:rPr>
          <w:rFonts w:ascii="仿宋_GB2312" w:hint="eastAsia"/>
          <w:szCs w:val="32"/>
        </w:rPr>
      </w:pPr>
      <w:r>
        <w:rPr>
          <w:rFonts w:ascii="宋体" w:eastAsia="宋体" w:cs="宋体" w:hint="eastAsia"/>
          <w:color w:val="auto"/>
          <w:sz w:val="28"/>
          <w:szCs w:val="28"/>
          <w:highlight w:val="auto"/>
        </w:rPr>
        <w:t>以上各表所列各项均包含人工费、材料费、施工机械设备、辅料，</w:t>
      </w:r>
      <w:r>
        <w:rPr>
          <w:rFonts w:ascii="宋体" w:eastAsia="宋体" w:cs="宋体" w:hint="eastAsia"/>
          <w:color w:val="auto"/>
          <w:kern w:val="0"/>
          <w:sz w:val="28"/>
          <w:szCs w:val="28"/>
          <w:highlight w:val="auto"/>
        </w:rPr>
        <w:t>未含项目补偿价格，可参考《广东省建筑与装饰综合定额</w:t>
      </w:r>
      <w:r>
        <w:rPr>
          <w:rFonts w:ascii="宋体" w:eastAsia="宋体" w:cs="宋体" w:hint="eastAsia"/>
          <w:color w:val="auto"/>
          <w:kern w:val="0"/>
          <w:sz w:val="28"/>
          <w:szCs w:val="28"/>
          <w:lang w:eastAsia="zh-CN"/>
          <w:highlight w:val="auto"/>
        </w:rPr>
        <w:t>》《</w:t>
      </w:r>
      <w:r>
        <w:rPr>
          <w:rFonts w:ascii="宋体" w:eastAsia="宋体" w:cs="宋体" w:hint="eastAsia"/>
          <w:color w:val="auto"/>
          <w:kern w:val="0"/>
          <w:sz w:val="28"/>
          <w:szCs w:val="28"/>
          <w:highlight w:val="auto"/>
        </w:rPr>
        <w:t>河源市建设工程造价信息》最新版等资料，结合市场上建筑材料、人工、机器台班等因素确定以评估为准。</w:t>
      </w:r>
      <w:bookmarkStart w:id="27" w:name="_GoBack"/>
      <w:bookmarkEnd w:id="27"/>
    </w:p>
    <w:sectPr>
      <w:headerReference w:type="default" r:id="rId2"/>
      <w:footerReference w:type="default" r:id="rId3"/>
      <w:pgSz w:w="11906" w:h="16838"/>
      <w:pgMar w:top="1304" w:right="1474" w:bottom="1134" w:left="1474" w:header="851" w:footer="1400" w:gutter="0"/>
      <w:pgNumType w:fmt="numberInDash"/>
      <w:rtlGutter/>
      <w:docGrid w:type="linesAndChars" w:linePitch="631" w:charSpace="-15"/>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203" w:usb1="288F0000" w:usb2="00000006" w:usb3="00000000" w:csb0="00040001" w:csb1="00000000"/>
  </w:font>
  <w:font w:name="方正小标宋_GBK">
    <w:panose1 w:val="03000509000000000000"/>
    <w:charset w:val="86"/>
    <w:family w:val="auto"/>
    <w:pitch w:val="variable"/>
    <w:sig w:usb0="00000001" w:usb1="080E0000" w:usb2="00000000" w:usb3="00000000" w:csb0="00040000" w:csb1="00000000"/>
  </w:font>
  <w:font w:name="仿宋_GB2312">
    <w:altName w:val="仿宋"/>
    <w:panose1 w:val="02010609030101010101"/>
    <w:charset w:val="86"/>
    <w:family w:val="modern"/>
    <w:pitch w:val="variable"/>
    <w:sig w:usb0="00000000" w:usb1="00000000" w:usb2="00000000" w:usb3="00000000" w:csb0="00040000" w:csb1="00000000"/>
  </w:font>
  <w:font w:name="Times New Roman">
    <w:panose1 w:val="02020603050405020304"/>
    <w:charset w:val="86"/>
    <w:family w:val="auto"/>
    <w:pitch w:val="variable"/>
    <w:sig w:usb0="E0002EFF" w:usb1="C000785B" w:usb2="00000009" w:usb3="00000000" w:csb0="400001FF" w:csb1="FFFF0000"/>
  </w:font>
  <w:font w:name="等线">
    <w:altName w:val="汉仪中黑 197"/>
    <w:panose1 w:val="02010600030101010101"/>
    <w:charset w:val="86"/>
    <w:family w:val="auto"/>
    <w:pitch w:val="variable"/>
    <w:sig w:usb0="A00002BF" w:usb1="38CF7CFA" w:usb2="00000016" w:usb3="00000000" w:csb0="0004000F" w:csb1="00000000"/>
  </w:font>
  <w:font w:name="黑体">
    <w:panose1 w:val="02010609060101010101"/>
    <w:charset w:val="86"/>
    <w:family w:val="auto"/>
    <w:pitch w:val="variable"/>
    <w:sig w:usb0="800002BF" w:usb1="38CF7CFA" w:usb2="0000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6"/>
      <w:tabs>
        <w:tab w:val="center" w:pos="4153"/>
        <w:tab w:val="right" w:pos="8306"/>
      </w:tabs>
      <w:ind w:rightChars="100" w:right="320"/>
      <w:jc w:val="right"/>
      <w:rPr>
        <w:rFonts w:ascii="宋体" w:eastAsia="宋体"/>
        <w:sz w:val="28"/>
      </w:rPr>
    </w:pPr>
    <w:r>
      <w:rPr>
        <w:sz w:val="28"/>
      </w:rPr>
      <mc:AlternateContent>
        <mc:Choice Requires="wps">
          <w:drawing>
            <wp:anchor distT="0" distB="0" distL="114298" distR="114298" simplePos="0" relativeHeight="12" behindDoc="0" locked="0" layoutInCell="1" hidden="0" allowOverlap="1">
              <wp:simplePos x="0" y="0"/>
              <wp:positionH relativeFrom="margin">
                <wp:align>right</wp:align>
              </wp:positionH>
              <wp:positionV relativeFrom="paragraph">
                <wp:posOffset>0</wp:posOffset>
              </wp:positionV>
              <wp:extent cx="914273" cy="230251"/>
              <wp:effectExtent l="0" t="0" r="0" b="0"/>
              <wp:wrapNone/>
              <wp:docPr id="1" name="文本框 2"/>
              <wp:cNvGraphicFramePr>
                <a:graphicFrameLocks noChangeAspect="0"/>
              </wp:cNvGraphicFramePr>
              <a:graphic>
                <a:graphicData uri="http://schemas.microsoft.com/office/word/2010/wordprocessingShape">
                  <wps:wsp>
                    <wps:cNvSpPr/>
                    <wps:spPr>
                      <a:xfrm rot="0">
                        <a:off x="0" y="0"/>
                        <a:ext cx="914273" cy="230251"/>
                      </a:xfrm>
                      <a:prstGeom prst="rect"/>
                      <a:noFill/>
                      <a:ln w="6350" cmpd="sng" cap="flat">
                        <a:noFill/>
                        <a:prstDash val="solid"/>
                        <a:round/>
                      </a:ln>
                    </wps:spPr>
                    <wps:txbx id="2">
                      <w:txbxContent>
                        <w:p>
                          <w:pPr>
                            <w:pStyle w:val="16"/>
                            <w:tabs>
                              <w:tab w:val="center" w:pos="4153"/>
                              <w:tab w:val="right" w:pos="8306"/>
                            </w:tabs>
                            <w:ind w:rightChars="100" w:right="320"/>
                            <w:jc w:val="right"/>
                          </w:pPr>
                          <w:r>
                            <w:rPr>
                              <w:rFonts w:ascii="宋体" w:eastAsia="宋体" w:hint="eastAsia"/>
                              <w:sz w:val="28"/>
                            </w:rPr>
                            <w:t>—</w:t>
                          </w:r>
                          <w:r>
                            <w:rPr>
                              <w:rFonts w:ascii="宋体" w:eastAsia="宋体"/>
                              <w:sz w:val="28"/>
                            </w:rPr>
                            <w:t xml:space="preserve"> </w:t>
                          </w:r>
                          <w:r>
                            <w:rPr>
                              <w:rFonts w:ascii="宋体" w:eastAsia="宋体"/>
                              <w:sz w:val="28"/>
                            </w:rPr>
                            <w:fldChar w:fldCharType="begin"/>
                          </w:r>
                          <w:r>
                            <w:rPr>
                              <w:rFonts w:ascii="宋体" w:eastAsia="宋体"/>
                              <w:sz w:val="28"/>
                            </w:rPr>
                            <w:instrText xml:space="preserve"> PAGE \* Arabic \* MERGEFORMAT </w:instrText>
                          </w:r>
                          <w:r>
                            <w:rPr>
                              <w:rFonts w:ascii="宋体" w:eastAsia="宋体"/>
                              <w:sz w:val="28"/>
                            </w:rPr>
                            <w:fldChar w:fldCharType="separate"/>
                          </w:r>
                          <w:r>
                            <w:rPr>
                              <w:rFonts w:ascii="宋体" w:eastAsia="宋体"/>
                              <w:sz w:val="28"/>
                            </w:rPr>
                            <w:t>8</w:t>
                          </w:r>
                          <w:r>
                            <w:rPr>
                              <w:rFonts w:ascii="宋体" w:eastAsia="宋体"/>
                              <w:sz w:val="28"/>
                            </w:rPr>
                            <w:fldChar w:fldCharType="end"/>
                          </w:r>
                          <w:r>
                            <w:rPr>
                              <w:rFonts w:ascii="宋体" w:eastAsia="宋体"/>
                              <w:sz w:val="28"/>
                            </w:rPr>
                            <w:t xml:space="preserve"> —</w:t>
                          </w:r>
                        </w:p>
                      </w:txbxContent>
                    </wps:txbx>
                    <wps:bodyPr vert="horz" wrap="none" lIns="0" tIns="0" rIns="0" bIns="0" anchor="t" anchorCtr="0" upright="0">
                      <a:spAutoFit/>
                    </wps:bodyPr>
                  </wps:wsp>
                </a:graphicData>
              </a:graphic>
            </wp:anchor>
          </w:drawing>
        </mc:Choice>
        <mc:Fallback>
          <w:pict>
            <v:shape type="#_x0000_t202" id="文本框 2 3" o:spid="_x0000_s3" filled="f" stroked="f" strokeweight="0.5pt" style="position:absolute;margin-left:0.0pt;margin-top:0.0pt;width:71.99002pt;height:18.130003pt;z-index:12;mso-position-horizontal:right;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16"/>
                      <w:tabs>
                        <w:tab w:val="center" w:pos="4153"/>
                        <w:tab w:val="right" w:pos="8306"/>
                      </w:tabs>
                      <w:ind w:rightChars="100" w:right="320"/>
                      <w:jc w:val="right"/>
                    </w:pPr>
                    <w:r>
                      <w:rPr>
                        <w:rFonts w:ascii="宋体" w:eastAsia="宋体" w:hint="eastAsia"/>
                        <w:sz w:val="28"/>
                      </w:rPr>
                      <w:t>—</w:t>
                    </w:r>
                    <w:r>
                      <w:rPr>
                        <w:rFonts w:ascii="宋体" w:eastAsia="宋体"/>
                        <w:sz w:val="28"/>
                      </w:rPr>
                      <w:t xml:space="preserve"> </w:t>
                    </w:r>
                    <w:r>
                      <w:rPr>
                        <w:rFonts w:ascii="宋体" w:eastAsia="宋体"/>
                        <w:sz w:val="28"/>
                      </w:rPr>
                      <w:fldChar w:fldCharType="begin"/>
                    </w:r>
                    <w:r>
                      <w:rPr>
                        <w:rFonts w:ascii="宋体" w:eastAsia="宋体"/>
                        <w:sz w:val="28"/>
                      </w:rPr>
                      <w:instrText xml:space="preserve"> PAGE \* Arabic \* MERGEFORMAT </w:instrText>
                    </w:r>
                    <w:r>
                      <w:rPr>
                        <w:rFonts w:ascii="宋体" w:eastAsia="宋体"/>
                        <w:sz w:val="28"/>
                      </w:rPr>
                      <w:fldChar w:fldCharType="separate"/>
                    </w:r>
                    <w:r>
                      <w:rPr>
                        <w:rFonts w:ascii="宋体" w:eastAsia="宋体"/>
                        <w:sz w:val="28"/>
                      </w:rPr>
                      <w:t>8</w:t>
                    </w:r>
                    <w:r>
                      <w:rPr>
                        <w:rFonts w:ascii="宋体" w:eastAsia="宋体"/>
                        <w:sz w:val="28"/>
                      </w:rPr>
                      <w:fldChar w:fldCharType="end"/>
                    </w:r>
                    <w:r>
                      <w:rPr>
                        <w:rFonts w:ascii="宋体" w:eastAsia="宋体"/>
                        <w:sz w:val="28"/>
                      </w:rPr>
                      <w:t xml:space="preserve"> —</w:t>
                    </w:r>
                  </w:p>
                </w:txbxContent>
              </v:textbox>
            </v:shape>
          </w:pict>
        </mc:Fallback>
      </mc:AlternateContent>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pBdr>
        <w:bottom w:val="none" w:sz="0" w:space="0" w:color="auto"/>
      </w:pBdr>
      <w:tabs>
        <w:tab w:val="center" w:pos="4153"/>
        <w:tab w:val="right" w:pos="8306"/>
      </w:tabs>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F2E491C6"/>
    <w:multiLevelType w:val="singleLevel"/>
    <w:tmpl w:val="F2E491C6"/>
    <w:lvl w:ilvl="0">
      <w:start w:val="1"/>
      <w:numFmt w:val="chineseCounting"/>
      <w:lvlRestart w:val="0"/>
      <w:suff w:val="nothing"/>
      <w:lvlText w:val="（%1）"/>
      <w:lvlJc w:val="left"/>
      <w:pPr>
        <w:ind w:left="0" w:firstLine="420"/>
      </w:pPr>
      <w:rPr>
        <w:rFonts w:hint="eastAsia"/>
      </w:rPr>
    </w:lvl>
  </w:abstractNum>
  <w:abstractNum w:abstractNumId="1">
    <w:nsid w:val="5CDD6338"/>
    <w:multiLevelType w:val="singleLevel"/>
    <w:tmpl w:val="5CDD6338"/>
    <w:lvl w:ilvl="0">
      <w:start w:val="2"/>
      <w:numFmt w:val="chineseCounting"/>
      <w:lvlRestart w:val="0"/>
      <w:suff w:val="nothing"/>
      <w:lvlText w:val="%1、"/>
      <w:lvlJc w:val="left"/>
      <w:pPr>
        <w:ind w:left="0" w:hanging="0"/>
      </w:pPr>
      <w:rPr>
        <w:rFonts w:hint="eastAsia"/>
      </w:rPr>
    </w:lvl>
  </w:abstractNum>
  <w:abstractNum w:abstractNumId="2">
    <w:nsid w:val="3E5024BD"/>
    <w:multiLevelType w:val="singleLevel"/>
    <w:tmpl w:val="3E5024BD"/>
    <w:lvl w:ilvl="0">
      <w:start w:val="1"/>
      <w:numFmt w:val="decimal"/>
      <w:lvlRestart w:val="0"/>
      <w:lvlText w:val="(%1)"/>
      <w:lvlJc w:val="left"/>
      <w:pPr>
        <w:ind w:left="425" w:hanging="425"/>
      </w:pPr>
      <w:rPr>
        <w:rFonts w:hint="default"/>
      </w:rPr>
    </w:lvl>
  </w:abstractNum>
  <w:abstractNum w:abstractNumId="3">
    <w:nsid w:val="15729152"/>
    <w:multiLevelType w:val="singleLevel"/>
    <w:tmpl w:val="15729152"/>
    <w:lvl w:ilvl="0">
      <w:start w:val="1"/>
      <w:numFmt w:val="chineseCounting"/>
      <w:lvlRestart w:val="0"/>
      <w:suff w:val="nothing"/>
      <w:lvlText w:val="（%1）"/>
      <w:lvlJc w:val="left"/>
      <w:pPr>
        <w:ind w:left="0" w:firstLine="420"/>
      </w:pPr>
      <w:rPr>
        <w:rFonts w:hint="eastAsia"/>
      </w:rPr>
    </w:lvl>
  </w:abstractNum>
  <w:abstractNum w:abstractNumId="4">
    <w:nsid w:val="C67F0580"/>
    <w:multiLevelType w:val="singleLevel"/>
    <w:tmpl w:val="C67F0580"/>
    <w:lvl w:ilvl="0">
      <w:start w:val="1"/>
      <w:numFmt w:val="chineseCounting"/>
      <w:lvlRestart w:val="0"/>
      <w:suff w:val="nothing"/>
      <w:lvlText w:val="%1、"/>
      <w:lvlJc w:val="left"/>
      <w:pPr>
        <w:ind w:left="0" w:firstLine="420"/>
      </w:pPr>
      <w:rPr>
        <w:rFonts w:hint="eastAsia"/>
      </w:rPr>
    </w:lvl>
  </w:abstractNum>
  <w:abstractNum w:abstractNumId="5">
    <w:nsid w:val="CAD7515E"/>
    <w:multiLevelType w:val="singleLevel"/>
    <w:tmpl w:val="CAD7515E"/>
    <w:lvl w:ilvl="0">
      <w:start w:val="2"/>
      <w:numFmt w:val="decimal"/>
      <w:lvlRestart w:val="0"/>
      <w:lvlText w:val="%1."/>
      <w:lvlJc w:val="left"/>
      <w:pPr>
        <w:ind w:left="0" w:hanging="0"/>
      </w:pPr>
    </w:lvl>
  </w:abstractNum>
  <w:abstractNum w:abstractNumId="6">
    <w:nsid w:val="0B364A8D"/>
    <w:multiLevelType w:val="singleLevel"/>
    <w:tmpl w:val="0B364A8D"/>
    <w:lvl w:ilvl="0">
      <w:start w:val="2"/>
      <w:numFmt w:val="decimal"/>
      <w:lvlRestart w:val="0"/>
      <w:lvlText w:val="%1."/>
      <w:lvlJc w:val="left"/>
      <w:pPr>
        <w:ind w:left="0" w:hanging="0"/>
      </w:pPr>
    </w:lvl>
  </w:abstractNum>
  <w:abstractNum w:abstractNumId="7">
    <w:nsid w:val="2439CD95"/>
    <w:multiLevelType w:val="singleLevel"/>
    <w:tmpl w:val="2439CD95"/>
    <w:lvl w:ilvl="0">
      <w:start w:val="2"/>
      <w:numFmt w:val="decimal"/>
      <w:lvlRestart w:val="0"/>
      <w:lvlText w:val="%1."/>
      <w:lvlJc w:val="left"/>
      <w:pPr>
        <w:ind w:left="0" w:hanging="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24"/>
  <w:doNotDisplayPageBoundaries/>
  <w:bordersDoNotSurroundHeader w:val="0"/>
  <w:bordersDoNotSurroundFooter w:val="0"/>
  <w:documentProtection w:edit="readOnly" w:enforcement="0"/>
  <w:defaultTabStop w:val="420"/>
  <w:drawingGridHorizontalSpacing w:val="159"/>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doNotUseIndentAsNumberingTabStop/>
    <w:compatSetting w:name="compatibilityMode" w:uri="http://schemas.microsoft.com/office/word" w:val="14"/>
  </w:compat>
  <w:docVars>
    <w:docVar w:name="commondata" w:val="eyJoZGlkIjoiYTY3N2YzNWJhYjdkMDdhYTIzYWZiNmNiMzRjNDMyMDMifQ=="/>
    <w:docVar w:name="KSO_WPS_MARK_KEY" w:val="6c541f5e-a625-4c74-813c-debbe919088c"/>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等线" w:eastAsia="仿宋_GB2312" w:cs="Times New Roman" w:hAnsi="等线"/>
      <w:kern w:val="2"/>
      <w:sz w:val="32"/>
      <w:szCs w:val="22"/>
      <w:lang w:val="en-US" w:eastAsia="zh-CN" w:bidi="ar-SA"/>
    </w:rPr>
  </w:style>
  <w:style w:type="paragraph" w:styleId="1">
    <w:name w:val="heading 1"/>
    <w:basedOn w:val="0"/>
    <w:next w:val="0"/>
    <w:pPr>
      <w:keepNext/>
      <w:keepLines/>
      <w:spacing w:before="340" w:after="330" w:line="578" w:lineRule="auto"/>
      <w:outlineLvl w:val="0"/>
    </w:pPr>
    <w:rPr>
      <w:b/>
      <w:bCs/>
      <w:kern w:val="44"/>
      <w:sz w:val="44"/>
    </w:rPr>
  </w:style>
  <w:style w:type="paragraph" w:styleId="2">
    <w:name w:val="heading 2"/>
    <w:basedOn w:val="0"/>
    <w:next w:val="0"/>
    <w:pPr>
      <w:keepNext/>
      <w:keepLines/>
      <w:spacing w:before="260" w:after="260" w:line="415" w:lineRule="auto"/>
      <w:outlineLvl w:val="1"/>
    </w:pPr>
    <w:rPr>
      <w:rFonts w:ascii="Times New Roman" w:eastAsia="黑体" w:hAnsi="Times New Roman"/>
      <w:b/>
      <w:sz w:val="32"/>
    </w:rPr>
  </w:style>
  <w:style w:type="paragraph" w:styleId="3">
    <w:name w:val="heading 3"/>
    <w:basedOn w:val="0"/>
    <w:next w:val="0"/>
    <w:pPr>
      <w:keepNext/>
      <w:keepLines/>
      <w:widowControl w:val="0"/>
      <w:spacing w:beforeLines="50" w:before="50" w:line="360" w:lineRule="auto"/>
      <w:outlineLvl w:val="2"/>
    </w:pPr>
    <w:rPr>
      <w:rFonts w:ascii="Times New Roman" w:eastAsia="黑体" w:hAnsi="Times New Roman"/>
      <w:b/>
      <w:bCs/>
      <w:sz w:val="30"/>
      <w:szCs w:val="32"/>
    </w:rPr>
  </w:style>
  <w:style w:type="character" w:default="1" w:styleId="10">
    <w:name w:val="Default Paragraph Font"/>
  </w:style>
  <w:style w:type="paragraph" w:styleId="15">
    <w:name w:val="annotation text"/>
    <w:basedOn w:val="0"/>
    <w:pPr>
      <w:jc w:val="left"/>
    </w:p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character" w:styleId="18">
    <w:name w:val="Strong"/>
    <w:basedOn w:val="10"/>
    <w:rPr>
      <w:b/>
    </w:rPr>
  </w:style>
  <w:style w:type="character" w:styleId="19">
    <w:name w:val="Hyperlink"/>
    <w:basedOn w:val="10"/>
    <w:rPr>
      <w:color w:val="0000FF"/>
      <w:u w:val="single"/>
    </w:rPr>
  </w:style>
  <w:style w:type="paragraph" w:styleId="20">
    <w:name w:val="List Paragraph"/>
    <w:basedOn w:val="0"/>
    <w:pPr>
      <w:ind w:firstLineChars="200" w:firstLine="200"/>
    </w:pPr>
  </w:style>
  <w:style w:type="paragraph" w:customStyle="1" w:styleId="21">
    <w:name w:val="WPSOffice手动目录 1"/>
    <w:rPr>
      <w:rFonts w:ascii="Times New Roman" w:eastAsia="宋体" w:cs="Times New Roman" w:hAnsi="Times New Roman"/>
      <w:sz w:val="20"/>
      <w:szCs w:val="2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11</TotalTime>
  <Application>Yozo_Office27021597764231179</Application>
  <Pages>23</Pages>
  <Words>8090</Words>
  <Characters>9287</Characters>
  <Lines>1229</Lines>
  <Paragraphs>930</Paragraphs>
  <CharactersWithSpaces>9302</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WS</dc:creator>
  <cp:lastModifiedBy>admin</cp:lastModifiedBy>
  <cp:revision>1</cp:revision>
  <cp:lastPrinted>2025-02-26T02:01:00Z</cp:lastPrinted>
  <dcterms:created xsi:type="dcterms:W3CDTF">2021-02-01T10:32:00Z</dcterms:created>
  <dcterms:modified xsi:type="dcterms:W3CDTF">2025-03-05T09:09:44Z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2052-12.1.0.20305</vt:lpwstr>
  </property>
  <property fmtid="{D5CDD505-2E9C-101B-9397-08002B2CF9AE}" pid="3" name="ICV">
    <vt:lpwstr>AC7660D11D224691A703C8E12E183A12_13</vt:lpwstr>
  </property>
  <property fmtid="{D5CDD505-2E9C-101B-9397-08002B2CF9AE}" pid="4" name="KSOTemplateDocerSaveRecord">
    <vt:lpwstr>eyJoZGlkIjoiMzBiMzNjMmY3N2JlZmVhYTkwMjFmNDk5ODg4N2JmNGEiLCJ1c2VySWQiOiI2MDQ5NTMyNTYifQ==</vt:lpwstr>
  </property>
</Properties>
</file>